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before="100"/>
      </w:pPr>
      <w:r>
        <w:rPr>
          <w:rFonts w:ascii="Calibri" w:cs="Calibri" w:eastAsia="Calibri" w:hAnsi="Calibri"/>
          <w:b/>
          <w:bCs/>
          <w:color w:val="2E74B5"/>
          <w:sz w:val="22"/>
          <w:szCs w:val="22"/>
        </w:rPr>
        <w:t xml:space="preserve">BUSINESS RESILIENCE PULSE CHECK</w:t>
      </w:r>
    </w:p>
    <w:p>
      <w:pPr>
        <w:spacing w:after="200"/>
      </w:pPr>
      <w:r>
        <w:rPr>
          <w:rFonts w:ascii="Calibri" w:cs="Calibri" w:eastAsia="Calibri" w:hAnsi="Calibri"/>
          <w:b/>
          <w:bCs/>
          <w:color w:val="595959"/>
          <w:sz w:val="20"/>
          <w:szCs w:val="20"/>
        </w:rPr>
        <w:t xml:space="preserve">SCENARIO PACKAGE GS-6b</w:t>
      </w:r>
    </w:p>
    <w:p>
      <w:pPr>
        <w:spacing w:after="120"/>
      </w:pPr>
      <w:r>
        <w:rPr>
          <w:rFonts w:ascii="Calibri" w:cs="Calibri" w:eastAsia="Calibri" w:hAnsi="Calibri"/>
          <w:b/>
          <w:bCs/>
          <w:color w:val="1F3864"/>
          <w:sz w:val="52"/>
          <w:szCs w:val="52"/>
        </w:rPr>
        <w:t xml:space="preserve">Data Breach — Financial Services</w:t>
      </w:r>
    </w:p>
    <w:p>
      <w:pPr>
        <w:spacing w:after="100"/>
      </w:pPr>
      <w:r>
        <w:rPr>
          <w:rFonts w:ascii="Calibri" w:cs="Calibri" w:eastAsia="Calibri" w:hAnsi="Calibri"/>
          <w:color w:val="595959"/>
          <w:sz w:val="24"/>
          <w:szCs w:val="24"/>
        </w:rPr>
        <w:t xml:space="preserve">Customer Financial Data and Regulatory Notification — Business Response Focus</w:t>
      </w:r>
    </w:p>
    <w:p>
      <w:pPr>
        <w:pBdr>
          <w:bottom w:val="single" w:color="2E74B5" w:sz="8" w:space="6"/>
        </w:pBdr>
        <w:spacing w:after="80"/>
      </w:pPr>
      <w:r>
        <w:rPr>
          <w:rFonts w:ascii="Calibri" w:cs="Calibri" w:eastAsia="Calibri" w:hAnsi="Calibri"/>
          <w:color w:val="595959"/>
          <w:sz w:val="20"/>
          <w:szCs w:val="20"/>
        </w:rPr>
        <w:t xml:space="preserve">Industry: Financial Services  |  Duration: 2–3 Hours  |  Version 1.0  |  July 2026</w:t>
      </w:r>
    </w:p>
    <w:p>
      <w:pPr>
        <w:spacing w:after="160"/>
      </w:pPr>
    </w:p>
    <w:p>
      <w:pPr>
        <w:pStyle w:val="Heading1"/>
        <w:keepNext/>
        <w:spacing w:after="140" w:before="320"/>
      </w:pPr>
      <w:r>
        <w:rPr>
          <w:rFonts w:ascii="Calibri" w:cs="Calibri" w:eastAsia="Calibri" w:hAnsi="Calibri"/>
          <w:b/>
          <w:bCs/>
          <w:color w:val="1F3864"/>
          <w:sz w:val="30"/>
          <w:szCs w:val="30"/>
        </w:rPr>
        <w:t xml:space="preserve">Scenario Overview</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3100"/>
        <w:gridCol w:w="6260"/>
      </w:tblGrid>
      <w:tr>
        <w:trPr>
          <w:tblHeader/>
        </w:trPr>
        <w:tc>
          <w:tcPr>
            <w:tcW w:type="dxa" w:w="31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Field</w:t>
            </w:r>
          </w:p>
        </w:tc>
        <w:tc>
          <w:tcPr>
            <w:tcW w:type="dxa" w:w="62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Detail</w:t>
            </w:r>
          </w:p>
        </w:tc>
      </w:tr>
      <w:tr>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Threat category</w:t>
            </w:r>
          </w:p>
        </w:tc>
        <w:tc>
          <w:tcPr>
            <w:tcW w:type="dxa" w:w="62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Data Breach with Regulatory Notification</w:t>
            </w:r>
          </w:p>
        </w:tc>
      </w:tr>
      <w:tr>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Business response focus</w:t>
            </w:r>
          </w:p>
        </w:tc>
        <w:tc>
          <w:tcPr>
            <w:tcW w:type="dxa" w:w="62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Decision-making, communication, and coordination when a trusted vendor fails — notification sequencing, customer trust, and vendor accountability, not technical forensics.</w:t>
            </w:r>
          </w:p>
        </w:tc>
      </w:tr>
      <w:tr>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Scenario focus</w:t>
            </w:r>
          </w:p>
        </w:tc>
        <w:tc>
          <w:tcPr>
            <w:tcW w:type="dxa" w:w="62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Financial Services: customer financial data exposure, GLBA requirements, state banking notifications, customer fraud monitoring</w:t>
            </w:r>
          </w:p>
        </w:tc>
      </w:tr>
      <w:tr>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Duration</w:t>
            </w:r>
          </w:p>
        </w:tc>
        <w:tc>
          <w:tcPr>
            <w:tcW w:type="dxa" w:w="62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2–3 hours (3 modules + hot wash)</w:t>
            </w:r>
          </w:p>
        </w:tc>
      </w:tr>
      <w:tr>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Recommended participants</w:t>
            </w:r>
          </w:p>
        </w:tc>
        <w:tc>
          <w:tcPr>
            <w:tcW w:type="dxa" w:w="62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CEO/President, Compliance Officer, IT, Operations, Customer Service, Legal, CFO</w:t>
            </w:r>
          </w:p>
        </w:tc>
      </w:tr>
      <w:tr>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Key decisions tested</w:t>
            </w:r>
          </w:p>
        </w:tc>
        <w:tc>
          <w:tcPr>
            <w:tcW w:type="dxa" w:w="62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Breach scope, regulatory notification sequencing, customer communication, fraud monitoring, fiduciary response</w:t>
            </w:r>
          </w:p>
        </w:tc>
      </w:tr>
    </w:tbl>
    <w:p>
      <w:pPr>
        <w:pStyle w:val="Heading1"/>
        <w:keepNext/>
        <w:spacing w:after="140" w:before="320"/>
      </w:pPr>
      <w:r>
        <w:rPr>
          <w:rFonts w:ascii="Calibri" w:cs="Calibri" w:eastAsia="Calibri" w:hAnsi="Calibri"/>
          <w:b/>
          <w:bCs/>
          <w:color w:val="1F3864"/>
          <w:sz w:val="30"/>
          <w:szCs w:val="30"/>
        </w:rPr>
        <w:t xml:space="preserve">Scenario Narrative</w:t>
      </w:r>
    </w:p>
    <w:p>
      <w:pPr>
        <w:pStyle w:val="Heading2"/>
        <w:keepNext/>
        <w:spacing w:after="110" w:before="240"/>
      </w:pPr>
      <w:r>
        <w:rPr>
          <w:rFonts w:ascii="Calibri" w:cs="Calibri" w:eastAsia="Calibri" w:hAnsi="Calibri"/>
          <w:b/>
          <w:bCs/>
          <w:color w:val="2E74B5"/>
          <w:sz w:val="25"/>
          <w:szCs w:val="25"/>
        </w:rPr>
        <w:t xml:space="preserve">Background</w:t>
      </w:r>
    </w:p>
    <w:p>
      <w:pPr>
        <w:spacing w:after="120" w:before="0" w:line="276"/>
      </w:pPr>
      <w:r>
        <w:rPr>
          <w:rFonts w:ascii="Calibri" w:cs="Calibri" w:eastAsia="Calibri" w:hAnsi="Calibri"/>
          <w:color w:val="404040"/>
          <w:sz w:val="21"/>
          <w:szCs w:val="21"/>
        </w:rPr>
        <w:t xml:space="preserve">[ORGANIZATION NAME] is a [CUSTOMIZE: financial services type] serving [CUSTOMIZE: number] clients. A third-party service provider that handles [CUSTOMIZE: document scanning / data processing / IT services] notifies you that their systems were breached. The vendor’s notification states that data belonging to your organization’s clients may have been accessed. The vendor cannot yet confirm the scope of the exposure.</w:t>
      </w:r>
    </w:p>
    <w:p>
      <w:pPr>
        <w:pStyle w:val="Heading2"/>
        <w:keepNext/>
        <w:spacing w:after="110" w:before="240"/>
      </w:pPr>
      <w:r>
        <w:rPr>
          <w:rFonts w:ascii="Calibri" w:cs="Calibri" w:eastAsia="Calibri" w:hAnsi="Calibri"/>
          <w:b/>
          <w:bCs/>
          <w:color w:val="2E74B5"/>
          <w:sz w:val="25"/>
          <w:szCs w:val="25"/>
        </w:rPr>
        <w:t xml:space="preserve">Module 1: Third-Party Breach Discovery (25–30 minutes)</w:t>
      </w:r>
    </w:p>
    <w:p>
      <w:pPr>
        <w:spacing w:after="120" w:before="0" w:line="276"/>
      </w:pPr>
      <w:r>
        <w:rPr>
          <w:rFonts w:ascii="Calibri" w:cs="Calibri" w:eastAsia="Calibri" w:hAnsi="Calibri"/>
          <w:color w:val="404040"/>
          <w:sz w:val="21"/>
          <w:szCs w:val="21"/>
        </w:rPr>
        <w:t xml:space="preserve">The breach didn’t happen on your systems — it happened at a vendor you trusted with customer data, and they took two weeks to tell you. Module 1 tests whether the organization can define its exposure when the facts sit in someone else’s hands.</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Discussion questions:</w:t>
      </w:r>
      <w:r>
        <w:rPr>
          <w:rFonts w:ascii="Calibri" w:cs="Calibri" w:eastAsia="Calibri" w:hAnsi="Calibri"/>
          <w:color w:val="404040"/>
          <w:sz w:val="21"/>
          <w:szCs w:val="21"/>
        </w:rPr>
        <w:t xml:space="preserve"/>
      </w:r>
    </w:p>
    <w:p>
      <w:pPr>
        <w:pStyle w:val="ListParagraph"/>
        <w:numPr>
          <w:ilvl w:val="0"/>
          <w:numId w:val="2"/>
        </w:numPr>
        <w:spacing w:after="80" w:line="276"/>
      </w:pPr>
      <w:r>
        <w:rPr>
          <w:rFonts w:ascii="Calibri" w:cs="Calibri" w:eastAsia="Calibri" w:hAnsi="Calibri"/>
          <w:color w:val="404040"/>
          <w:sz w:val="21"/>
          <w:szCs w:val="21"/>
        </w:rPr>
        <w:t xml:space="preserve">A vendor you trusted with customer data has been breached. What is your immediate obligation to your customers?</w:t>
      </w:r>
    </w:p>
    <w:p>
      <w:pPr>
        <w:pStyle w:val="ListParagraph"/>
        <w:numPr>
          <w:ilvl w:val="0"/>
          <w:numId w:val="2"/>
        </w:numPr>
        <w:spacing w:after="80" w:line="276"/>
      </w:pPr>
      <w:r>
        <w:rPr>
          <w:rFonts w:ascii="Calibri" w:cs="Calibri" w:eastAsia="Calibri" w:hAnsi="Calibri"/>
          <w:color w:val="404040"/>
          <w:sz w:val="21"/>
          <w:szCs w:val="21"/>
        </w:rPr>
        <w:t xml:space="preserve">You don’t know exactly what data the vendor had. How do you determine the scope?</w:t>
      </w:r>
    </w:p>
    <w:p>
      <w:pPr>
        <w:pStyle w:val="ListParagraph"/>
        <w:numPr>
          <w:ilvl w:val="0"/>
          <w:numId w:val="2"/>
        </w:numPr>
        <w:spacing w:after="80" w:line="276"/>
      </w:pPr>
      <w:r>
        <w:rPr>
          <w:rFonts w:ascii="Calibri" w:cs="Calibri" w:eastAsia="Calibri" w:hAnsi="Calibri"/>
          <w:color w:val="404040"/>
          <w:sz w:val="21"/>
          <w:szCs w:val="21"/>
        </w:rPr>
        <w:t xml:space="preserve">The vendor waited 2 weeks to tell you. Does your contract require faster notification? What leverage do you have?</w:t>
      </w:r>
    </w:p>
    <w:p>
      <w:pPr>
        <w:pStyle w:val="ListParagraph"/>
        <w:numPr>
          <w:ilvl w:val="0"/>
          <w:numId w:val="2"/>
        </w:numPr>
        <w:spacing w:after="80" w:line="276"/>
      </w:pPr>
      <w:r>
        <w:rPr>
          <w:rFonts w:ascii="Calibri" w:cs="Calibri" w:eastAsia="Calibri" w:hAnsi="Calibri"/>
          <w:color w:val="404040"/>
          <w:sz w:val="21"/>
          <w:szCs w:val="21"/>
        </w:rPr>
        <w:t xml:space="preserve">Multiple regulators may need to be notified. Who in this room knows which regulators apply and what the timelines are?</w:t>
      </w:r>
    </w:p>
    <w:p>
      <w:pPr>
        <w:pStyle w:val="ListParagraph"/>
        <w:numPr>
          <w:ilvl w:val="0"/>
          <w:numId w:val="2"/>
        </w:numPr>
        <w:spacing w:after="80" w:line="276"/>
      </w:pPr>
      <w:r>
        <w:rPr>
          <w:rFonts w:ascii="Calibri" w:cs="Calibri" w:eastAsia="Calibri" w:hAnsi="Calibri"/>
          <w:color w:val="404040"/>
          <w:sz w:val="21"/>
          <w:szCs w:val="21"/>
        </w:rPr>
        <w:t xml:space="preserve">Who leads this response internally — compliance, legal, operations — and who speaks to the vendor with one voice?</w:t>
      </w:r>
    </w:p>
    <w:p>
      <w:pPr>
        <w:pStyle w:val="Heading2"/>
        <w:keepNext/>
        <w:spacing w:after="110" w:before="240"/>
      </w:pPr>
      <w:r>
        <w:rPr>
          <w:rFonts w:ascii="Calibri" w:cs="Calibri" w:eastAsia="Calibri" w:hAnsi="Calibri"/>
          <w:b/>
          <w:bCs/>
          <w:color w:val="2E74B5"/>
          <w:sz w:val="25"/>
          <w:szCs w:val="25"/>
        </w:rPr>
        <w:t xml:space="preserve">Module 2: Customer and Regulatory Response (25–30 minutes)</w:t>
      </w:r>
    </w:p>
    <w:p>
      <w:pPr>
        <w:spacing w:after="120" w:before="0" w:line="276"/>
      </w:pPr>
      <w:r>
        <w:rPr>
          <w:rFonts w:ascii="Calibri" w:cs="Calibri" w:eastAsia="Calibri" w:hAnsi="Calibri"/>
          <w:color w:val="404040"/>
          <w:sz w:val="21"/>
          <w:szCs w:val="21"/>
        </w:rPr>
        <w:t xml:space="preserve">Scope is firming up, a customer is already reporting fraud, and multiple regulators are waiting. Module 2 tests notification sequencing — and what your people say before the letters go out.</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Discussion questions:</w:t>
      </w:r>
      <w:r>
        <w:rPr>
          <w:rFonts w:ascii="Calibri" w:cs="Calibri" w:eastAsia="Calibri" w:hAnsi="Calibri"/>
          <w:color w:val="404040"/>
          <w:sz w:val="21"/>
          <w:szCs w:val="21"/>
        </w:rPr>
        <w:t xml:space="preserve"/>
      </w:r>
    </w:p>
    <w:p>
      <w:pPr>
        <w:pStyle w:val="ListParagraph"/>
        <w:numPr>
          <w:ilvl w:val="0"/>
          <w:numId w:val="2"/>
        </w:numPr>
        <w:spacing w:after="80" w:line="276"/>
      </w:pPr>
      <w:r>
        <w:rPr>
          <w:rFonts w:ascii="Calibri" w:cs="Calibri" w:eastAsia="Calibri" w:hAnsi="Calibri"/>
          <w:color w:val="404040"/>
          <w:sz w:val="21"/>
          <w:szCs w:val="21"/>
        </w:rPr>
        <w:t xml:space="preserve">A customer is experiencing fraud and asking if it’s related to the vendor breach. What do you tell them right now?</w:t>
      </w:r>
    </w:p>
    <w:p>
      <w:pPr>
        <w:pStyle w:val="ListParagraph"/>
        <w:numPr>
          <w:ilvl w:val="0"/>
          <w:numId w:val="2"/>
        </w:numPr>
        <w:spacing w:after="80" w:line="276"/>
      </w:pPr>
      <w:r>
        <w:rPr>
          <w:rFonts w:ascii="Calibri" w:cs="Calibri" w:eastAsia="Calibri" w:hAnsi="Calibri"/>
          <w:color w:val="404040"/>
          <w:sz w:val="21"/>
          <w:szCs w:val="21"/>
        </w:rPr>
        <w:t xml:space="preserve">The vendor says “no evidence of exfiltration” but can’t rule it out. How do you interpret that for your notification decision?</w:t>
      </w:r>
    </w:p>
    <w:p>
      <w:pPr>
        <w:pStyle w:val="ListParagraph"/>
        <w:numPr>
          <w:ilvl w:val="0"/>
          <w:numId w:val="2"/>
        </w:numPr>
        <w:spacing w:after="80" w:line="276"/>
      </w:pPr>
      <w:r>
        <w:rPr>
          <w:rFonts w:ascii="Calibri" w:cs="Calibri" w:eastAsia="Calibri" w:hAnsi="Calibri"/>
          <w:color w:val="404040"/>
          <w:sz w:val="21"/>
          <w:szCs w:val="21"/>
        </w:rPr>
        <w:t xml:space="preserve">You have multiple regulators with overlapping timelines. How do you coordinate?</w:t>
      </w:r>
    </w:p>
    <w:p>
      <w:pPr>
        <w:pStyle w:val="ListParagraph"/>
        <w:numPr>
          <w:ilvl w:val="0"/>
          <w:numId w:val="2"/>
        </w:numPr>
        <w:spacing w:after="80" w:line="276"/>
      </w:pPr>
      <w:r>
        <w:rPr>
          <w:rFonts w:ascii="Calibri" w:cs="Calibri" w:eastAsia="Calibri" w:hAnsi="Calibri"/>
          <w:color w:val="404040"/>
          <w:sz w:val="21"/>
          <w:szCs w:val="21"/>
        </w:rPr>
        <w:t xml:space="preserve">The vendor is offering credit monitoring. Is that sufficient? What else should you demand from them contractually?</w:t>
      </w:r>
    </w:p>
    <w:p>
      <w:pPr>
        <w:pStyle w:val="ListParagraph"/>
        <w:numPr>
          <w:ilvl w:val="0"/>
          <w:numId w:val="2"/>
        </w:numPr>
        <w:spacing w:after="80" w:line="276"/>
      </w:pPr>
      <w:r>
        <w:rPr>
          <w:rFonts w:ascii="Calibri" w:cs="Calibri" w:eastAsia="Calibri" w:hAnsi="Calibri"/>
          <w:color w:val="404040"/>
          <w:sz w:val="21"/>
          <w:szCs w:val="21"/>
        </w:rPr>
        <w:t xml:space="preserve">What script does your customer-facing team need today — and who approves it?</w:t>
      </w:r>
    </w:p>
    <w:p>
      <w:pPr>
        <w:pStyle w:val="Heading2"/>
        <w:keepNext/>
        <w:spacing w:after="110" w:before="240"/>
      </w:pPr>
      <w:r>
        <w:rPr>
          <w:rFonts w:ascii="Calibri" w:cs="Calibri" w:eastAsia="Calibri" w:hAnsi="Calibri"/>
          <w:b/>
          <w:bCs/>
          <w:color w:val="2E74B5"/>
          <w:sz w:val="25"/>
          <w:szCs w:val="25"/>
        </w:rPr>
        <w:t xml:space="preserve">Module 3: Recovery and Vendor Management (20–25 minutes)</w:t>
      </w:r>
    </w:p>
    <w:p>
      <w:pPr>
        <w:spacing w:after="120" w:before="0" w:line="276"/>
      </w:pPr>
      <w:r>
        <w:rPr>
          <w:rFonts w:ascii="Calibri" w:cs="Calibri" w:eastAsia="Calibri" w:hAnsi="Calibri"/>
          <w:color w:val="404040"/>
          <w:sz w:val="21"/>
          <w:szCs w:val="21"/>
        </w:rPr>
        <w:t xml:space="preserve">The letters are out, the story is in the paper, and accounts are closing. Module 3 tests the longer arc: measuring damage, deciding the vendor’s fate, and confronting whether the same gap exists across the vendor portfolio.</w:t>
      </w:r>
    </w:p>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Discussion questions:</w:t>
      </w:r>
      <w:r>
        <w:rPr>
          <w:rFonts w:ascii="Calibri" w:cs="Calibri" w:eastAsia="Calibri" w:hAnsi="Calibri"/>
          <w:color w:val="404040"/>
          <w:sz w:val="21"/>
          <w:szCs w:val="21"/>
        </w:rPr>
        <w:t xml:space="preserve"/>
      </w:r>
    </w:p>
    <w:p>
      <w:pPr>
        <w:pStyle w:val="ListParagraph"/>
        <w:numPr>
          <w:ilvl w:val="0"/>
          <w:numId w:val="2"/>
        </w:numPr>
        <w:spacing w:after="80" w:line="276"/>
      </w:pPr>
      <w:r>
        <w:rPr>
          <w:rFonts w:ascii="Calibri" w:cs="Calibri" w:eastAsia="Calibri" w:hAnsi="Calibri"/>
          <w:color w:val="404040"/>
          <w:sz w:val="21"/>
          <w:szCs w:val="21"/>
        </w:rPr>
        <w:t xml:space="preserve">Customers are closing accounts. How do you measure the long-term financial impact of this breach?</w:t>
      </w:r>
    </w:p>
    <w:p>
      <w:pPr>
        <w:pStyle w:val="ListParagraph"/>
        <w:numPr>
          <w:ilvl w:val="0"/>
          <w:numId w:val="2"/>
        </w:numPr>
        <w:spacing w:after="80" w:line="276"/>
      </w:pPr>
      <w:r>
        <w:rPr>
          <w:rFonts w:ascii="Calibri" w:cs="Calibri" w:eastAsia="Calibri" w:hAnsi="Calibri"/>
          <w:color w:val="404040"/>
          <w:sz w:val="21"/>
          <w:szCs w:val="21"/>
        </w:rPr>
        <w:t xml:space="preserve">Do you continue with this vendor or switch? What factors drive that decision?</w:t>
      </w:r>
    </w:p>
    <w:p>
      <w:pPr>
        <w:pStyle w:val="ListParagraph"/>
        <w:numPr>
          <w:ilvl w:val="0"/>
          <w:numId w:val="2"/>
        </w:numPr>
        <w:spacing w:after="80" w:line="276"/>
      </w:pPr>
      <w:r>
        <w:rPr>
          <w:rFonts w:ascii="Calibri" w:cs="Calibri" w:eastAsia="Calibri" w:hAnsi="Calibri"/>
          <w:color w:val="404040"/>
          <w:sz w:val="21"/>
          <w:szCs w:val="21"/>
        </w:rPr>
        <w:t xml:space="preserve">How many of your other vendors could have the same vulnerability? Do you have security requirements in your contracts?</w:t>
      </w:r>
    </w:p>
    <w:p>
      <w:pPr>
        <w:pStyle w:val="ListParagraph"/>
        <w:numPr>
          <w:ilvl w:val="0"/>
          <w:numId w:val="2"/>
        </w:numPr>
        <w:spacing w:after="80" w:line="276"/>
      </w:pPr>
      <w:r>
        <w:rPr>
          <w:rFonts w:ascii="Calibri" w:cs="Calibri" w:eastAsia="Calibri" w:hAnsi="Calibri"/>
          <w:color w:val="404040"/>
          <w:sz w:val="21"/>
          <w:szCs w:val="21"/>
        </w:rPr>
        <w:t xml:space="preserve">If you commissioned a deeper review of your data handling and vendor management tomorrow, what would you want it to examine first?</w:t>
      </w:r>
    </w:p>
    <w:p>
      <w:pPr>
        <w:pStyle w:val="ListParagraph"/>
        <w:numPr>
          <w:ilvl w:val="0"/>
          <w:numId w:val="2"/>
        </w:numPr>
        <w:spacing w:after="80" w:line="276"/>
      </w:pPr>
      <w:r>
        <w:rPr>
          <w:rFonts w:ascii="Calibri" w:cs="Calibri" w:eastAsia="Calibri" w:hAnsi="Calibri"/>
          <w:color w:val="404040"/>
          <w:sz w:val="21"/>
          <w:szCs w:val="21"/>
        </w:rPr>
        <w:t xml:space="preserve">What commitments do you make to customers now about how their data will be handled — and can you keep them?</w:t>
      </w:r>
    </w:p>
    <w:p>
      <w:r>
        <w:br w:type="page"/>
      </w:r>
    </w:p>
    <w:p>
      <w:pPr>
        <w:pStyle w:val="Heading1"/>
        <w:keepNext/>
        <w:spacing w:after="140" w:before="320"/>
      </w:pPr>
      <w:r>
        <w:rPr>
          <w:rFonts w:ascii="Calibri" w:cs="Calibri" w:eastAsia="Calibri" w:hAnsi="Calibri"/>
          <w:b/>
          <w:bCs/>
          <w:color w:val="1F3864"/>
          <w:sz w:val="30"/>
          <w:szCs w:val="30"/>
        </w:rPr>
        <w:t xml:space="preserve">Master Scenario Events List (MSEL)</w:t>
      </w:r>
    </w:p>
    <w:p>
      <w:pPr>
        <w:spacing w:after="120" w:before="0" w:line="276"/>
      </w:pPr>
      <w:r>
        <w:rPr>
          <w:rFonts w:ascii="Calibri" w:cs="Calibri" w:eastAsia="Calibri" w:hAnsi="Calibri"/>
          <w:color w:val="404040"/>
          <w:sz w:val="21"/>
          <w:szCs w:val="21"/>
        </w:rPr>
        <w:t xml:space="preserve">Deliver injects at the indicated times, verbally or as printed artifacts. Timings assume a 2.5-hour delivery; compress or extend to fit the agreed schedule.</w:t>
      </w:r>
    </w:p>
    <w:p>
      <w:pPr>
        <w:keepNext/>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INJECT 1: Vendor Notification Received</w:t>
      </w:r>
      <w:r>
        <w:rPr>
          <w:rFonts w:ascii="Calibri" w:cs="Calibri" w:eastAsia="Calibri" w:hAnsi="Calibri"/>
          <w:color w:val="404040"/>
          <w:sz w:val="21"/>
          <w:szCs w:val="21"/>
        </w:rPr>
        <w:t xml:space="preserve"/>
      </w:r>
    </w:p>
    <w:p>
      <w:pPr>
        <w:keepNext/>
        <w:spacing w:after="120" w:before="0" w:line="276"/>
      </w:pPr>
      <w:r>
        <w:rPr>
          <w:rFonts w:ascii="Calibri" w:cs="Calibri" w:eastAsia="Calibri" w:hAnsi="Calibri"/>
          <w:color w:val="404040"/>
          <w:sz w:val="21"/>
          <w:szCs w:val="21"/>
        </w:rPr>
        <w:t xml:space="preserve">Your [CUSTOMIZE: vendor name] sends a formal notification. It provides no specifics about what data was affected or how many records:</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9360"/>
      </w:tblGrid>
      <w:tr>
        <w:tc>
          <w:tcPr>
            <w:tcW w:type="dxa" w:w="9360"/>
            <w:shd w:fill="595959" w:val="clear"/>
            <w:tcMar>
              <w:top w:type="dxa" w:w="80"/>
              <w:left w:type="dxa" w:w="160"/>
              <w:bottom w:type="dxa" w:w="80"/>
              <w:right w:type="dxa" w:w="160"/>
            </w:tcMar>
          </w:tcPr>
          <w:p>
            <w:pPr>
              <w:spacing w:after="0"/>
            </w:pPr>
            <w:r>
              <w:rPr>
                <w:rFonts w:ascii="Calibri" w:cs="Calibri" w:eastAsia="Calibri" w:hAnsi="Calibri"/>
                <w:b/>
                <w:bCs/>
                <w:color w:val="FFFFFF"/>
                <w:sz w:val="20"/>
                <w:szCs w:val="20"/>
              </w:rPr>
              <w:t xml:space="preserve">SIMULATED ARTIFACT — Vendor Breach Notification Letter</w:t>
            </w:r>
          </w:p>
        </w:tc>
      </w:tr>
      <w:tr>
        <w:tc>
          <w:tcPr>
            <w:tcW w:type="dxa" w:w="9360"/>
            <w:shd w:fill="FAFAFA" w:val="clear"/>
            <w:tcMar>
              <w:top w:type="dxa" w:w="120"/>
              <w:left w:type="dxa" w:w="200"/>
              <w:bottom w:type="dxa" w:w="120"/>
              <w:right w:type="dxa" w:w="200"/>
            </w:tcMar>
          </w:tcPr>
          <w:p>
            <w:pPr>
              <w:spacing w:after="60"/>
            </w:pPr>
            <w:r>
              <w:rPr>
                <w:rFonts w:ascii="Consolas" w:cs="Consolas" w:eastAsia="Consolas" w:hAnsi="Consolas"/>
                <w:color w:val="404040"/>
                <w:sz w:val="19"/>
                <w:szCs w:val="19"/>
              </w:rPr>
              <w:t xml:space="preserve">[VENDOR LETTERHEAD]</w:t>
            </w:r>
          </w:p>
          <w:p>
            <w:pPr>
              <w:spacing w:after="60"/>
            </w:pPr>
            <w:r>
              <w:rPr>
                <w:rFonts w:ascii="Consolas" w:cs="Consolas" w:eastAsia="Consolas" w:hAnsi="Consolas"/>
                <w:color w:val="404040"/>
                <w:sz w:val="19"/>
                <w:szCs w:val="19"/>
              </w:rPr>
              <w:t xml:space="preserve"/>
            </w:r>
          </w:p>
          <w:p>
            <w:pPr>
              <w:spacing w:after="60"/>
            </w:pPr>
            <w:r>
              <w:rPr>
                <w:rFonts w:ascii="Consolas" w:cs="Consolas" w:eastAsia="Consolas" w:hAnsi="Consolas"/>
                <w:color w:val="404040"/>
                <w:sz w:val="19"/>
                <w:szCs w:val="19"/>
              </w:rPr>
              <w:t xml:space="preserve"/>
            </w:r>
            <w:r>
              <w:rPr>
                <w:rFonts w:ascii="Consolas" w:cs="Consolas" w:eastAsia="Consolas" w:hAnsi="Consolas"/>
                <w:b/>
                <w:bCs/>
                <w:color w:val="404040"/>
                <w:sz w:val="19"/>
                <w:szCs w:val="19"/>
              </w:rPr>
              <w:t xml:space="preserve">Re: Notice of Security Incident</w:t>
            </w:r>
            <w:r>
              <w:rPr>
                <w:rFonts w:ascii="Consolas" w:cs="Consolas" w:eastAsia="Consolas" w:hAnsi="Consolas"/>
                <w:color w:val="404040"/>
                <w:sz w:val="19"/>
                <w:szCs w:val="19"/>
              </w:rPr>
              <w:t xml:space="preserve"/>
            </w:r>
          </w:p>
          <w:p>
            <w:pPr>
              <w:spacing w:after="60"/>
            </w:pPr>
            <w:r>
              <w:rPr>
                <w:rFonts w:ascii="Consolas" w:cs="Consolas" w:eastAsia="Consolas" w:hAnsi="Consolas"/>
                <w:color w:val="404040"/>
                <w:sz w:val="19"/>
                <w:szCs w:val="19"/>
              </w:rPr>
              <w:t xml:space="preserve"/>
            </w:r>
          </w:p>
          <w:p>
            <w:pPr>
              <w:spacing w:after="60"/>
            </w:pPr>
            <w:r>
              <w:rPr>
                <w:rFonts w:ascii="Consolas" w:cs="Consolas" w:eastAsia="Consolas" w:hAnsi="Consolas"/>
                <w:color w:val="404040"/>
                <w:sz w:val="19"/>
                <w:szCs w:val="19"/>
              </w:rPr>
              <w:t xml:space="preserve">Dear Valued Partner,</w:t>
            </w:r>
          </w:p>
          <w:p>
            <w:pPr>
              <w:spacing w:after="60"/>
            </w:pPr>
            <w:r>
              <w:rPr>
                <w:rFonts w:ascii="Consolas" w:cs="Consolas" w:eastAsia="Consolas" w:hAnsi="Consolas"/>
                <w:color w:val="404040"/>
                <w:sz w:val="19"/>
                <w:szCs w:val="19"/>
              </w:rPr>
              <w:t xml:space="preserve"/>
            </w:r>
          </w:p>
          <w:p>
            <w:pPr>
              <w:spacing w:after="60"/>
            </w:pPr>
            <w:r>
              <w:rPr>
                <w:rFonts w:ascii="Consolas" w:cs="Consolas" w:eastAsia="Consolas" w:hAnsi="Consolas"/>
                <w:color w:val="404040"/>
                <w:sz w:val="19"/>
                <w:szCs w:val="19"/>
              </w:rPr>
              <w:t xml:space="preserve">We are writing to inform you of a security incident affecting our systems. On [CUSTOMIZE: date — approximately 2 weeks ago], we discovered unauthorized access to our data processing environment. Your organization’s client data was stored in the affected systems.</w:t>
            </w:r>
          </w:p>
          <w:p>
            <w:pPr>
              <w:spacing w:after="60"/>
            </w:pPr>
            <w:r>
              <w:rPr>
                <w:rFonts w:ascii="Consolas" w:cs="Consolas" w:eastAsia="Consolas" w:hAnsi="Consolas"/>
                <w:color w:val="404040"/>
                <w:sz w:val="19"/>
                <w:szCs w:val="19"/>
              </w:rPr>
              <w:t xml:space="preserve"/>
            </w:r>
          </w:p>
          <w:p>
            <w:pPr>
              <w:spacing w:after="60"/>
            </w:pPr>
            <w:r>
              <w:rPr>
                <w:rFonts w:ascii="Consolas" w:cs="Consolas" w:eastAsia="Consolas" w:hAnsi="Consolas"/>
                <w:color w:val="404040"/>
                <w:sz w:val="19"/>
                <w:szCs w:val="19"/>
              </w:rPr>
              <w:t xml:space="preserve">We are conducting a forensic investigation and will provide additional details as they become available.</w:t>
            </w:r>
          </w:p>
          <w:p>
            <w:pPr>
              <w:spacing w:after="60"/>
            </w:pPr>
            <w:r>
              <w:rPr>
                <w:rFonts w:ascii="Consolas" w:cs="Consolas" w:eastAsia="Consolas" w:hAnsi="Consolas"/>
                <w:color w:val="404040"/>
                <w:sz w:val="19"/>
                <w:szCs w:val="19"/>
              </w:rPr>
              <w:t xml:space="preserve"/>
            </w:r>
          </w:p>
          <w:p>
            <w:pPr>
              <w:spacing w:after="60"/>
            </w:pPr>
            <w:r>
              <w:rPr>
                <w:rFonts w:ascii="Consolas" w:cs="Consolas" w:eastAsia="Consolas" w:hAnsi="Consolas"/>
                <w:color w:val="404040"/>
                <w:sz w:val="19"/>
                <w:szCs w:val="19"/>
              </w:rPr>
              <w:t xml:space="preserve">We take the security of the data entrusted to us seriously and regret any inconvenience this may cause.</w:t>
            </w:r>
          </w:p>
          <w:p>
            <w:pPr>
              <w:spacing w:after="60"/>
            </w:pPr>
            <w:r>
              <w:rPr>
                <w:rFonts w:ascii="Consolas" w:cs="Consolas" w:eastAsia="Consolas" w:hAnsi="Consolas"/>
                <w:color w:val="404040"/>
                <w:sz w:val="19"/>
                <w:szCs w:val="19"/>
              </w:rPr>
              <w:t xml:space="preserve"/>
            </w:r>
          </w:p>
          <w:p>
            <w:pPr>
              <w:spacing w:after="60"/>
            </w:pPr>
            <w:r>
              <w:rPr>
                <w:rFonts w:ascii="Consolas" w:cs="Consolas" w:eastAsia="Consolas" w:hAnsi="Consolas"/>
                <w:color w:val="404040"/>
                <w:sz w:val="19"/>
                <w:szCs w:val="19"/>
              </w:rPr>
              <w:t xml:space="preserve">Sincerely,</w:t>
            </w:r>
          </w:p>
          <w:p>
            <w:pPr>
              <w:spacing w:after="60"/>
            </w:pPr>
            <w:r>
              <w:rPr>
                <w:rFonts w:ascii="Consolas" w:cs="Consolas" w:eastAsia="Consolas" w:hAnsi="Consolas"/>
                <w:color w:val="404040"/>
                <w:sz w:val="19"/>
                <w:szCs w:val="19"/>
              </w:rPr>
              <w:t xml:space="preserve">[Name], Chief Executive Officer</w:t>
            </w:r>
          </w:p>
          <w:p>
            <w:pPr>
              <w:spacing w:after="60"/>
            </w:pPr>
            <w:r>
              <w:rPr>
                <w:rFonts w:ascii="Consolas" w:cs="Consolas" w:eastAsia="Consolas" w:hAnsi="Consolas"/>
                <w:color w:val="404040"/>
                <w:sz w:val="19"/>
                <w:szCs w:val="19"/>
              </w:rPr>
              <w:t xml:space="preserve">[VENDOR NAME]</w:t>
            </w:r>
          </w:p>
        </w:tc>
      </w:tr>
    </w:tbl>
    <w:p>
      <w:pPr>
        <w:keepNext/>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INJECT 2: Scope Uncertainty</w:t>
      </w:r>
      <w:r>
        <w:rPr>
          <w:rFonts w:ascii="Calibri" w:cs="Calibri" w:eastAsia="Calibri" w:hAnsi="Calibri"/>
          <w:color w:val="404040"/>
          <w:sz w:val="21"/>
          <w:szCs w:val="21"/>
        </w:rPr>
        <w:t xml:space="preserve"/>
      </w:r>
    </w:p>
    <w:p>
      <w:pPr>
        <w:spacing w:after="120" w:before="0" w:line="276"/>
      </w:pPr>
      <w:r>
        <w:rPr>
          <w:rFonts w:ascii="Calibri" w:cs="Calibri" w:eastAsia="Calibri" w:hAnsi="Calibri"/>
          <w:color w:val="404040"/>
          <w:sz w:val="21"/>
          <w:szCs w:val="21"/>
        </w:rPr>
        <w:t xml:space="preserve">Your compliance officer asks: “What data did this vendor have access to? Do we know exactly what we sent them?” The operations team responds: “We’ve been sending them [CUSTOMIZE: account applications / tax documents / loan files / insurance claims] for [CUSTOMIZE: duration]. That includes names, SSNs, account numbers, and financial statements. We don’t have a precise inventory of what was transmitted.”</w:t>
      </w:r>
    </w:p>
    <w:p>
      <w:pPr>
        <w:keepNext/>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INJECT 3: Regulatory Clock Question</w:t>
      </w:r>
      <w:r>
        <w:rPr>
          <w:rFonts w:ascii="Calibri" w:cs="Calibri" w:eastAsia="Calibri" w:hAnsi="Calibri"/>
          <w:color w:val="404040"/>
          <w:sz w:val="21"/>
          <w:szCs w:val="21"/>
        </w:rPr>
        <w:t xml:space="preserve"/>
      </w:r>
    </w:p>
    <w:p>
      <w:pPr>
        <w:spacing w:after="120" w:before="0" w:line="276"/>
      </w:pPr>
      <w:r>
        <w:rPr>
          <w:rFonts w:ascii="Calibri" w:cs="Calibri" w:eastAsia="Calibri" w:hAnsi="Calibri"/>
          <w:color w:val="404040"/>
          <w:sz w:val="21"/>
          <w:szCs w:val="21"/>
        </w:rPr>
        <w:t xml:space="preserve">Your legal counsel asks: “The vendor discovered the breach [CUSTOMIZE: 2 weeks ago] and is just telling us now. When does our notification clock start — when the vendor discovered it, or when we were notified? [CUSTOMIZE based on jurisdiction: Our state requires notification within 30 days of the entity discovering the breach, and there’s a legal question about whether vendor discovery constitutes our discovery.] We need to move quickly regardless of the technical answer.”</w:t>
      </w: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1F3864" w:sz="24"/>
              <w:bottom w:val="none" w:color="FFFFFF" w:sz="0"/>
              <w:right w:val="none" w:color="FFFFFF" w:sz="0"/>
            </w:tcBorders>
            <w:shd w:fill="EDF2F9" w:val="clear"/>
            <w:tcMar>
              <w:top w:type="dxa" w:w="100"/>
              <w:left w:type="dxa" w:w="160"/>
              <w:bottom w:type="dxa" w:w="100"/>
              <w:right w:type="dxa" w:w="160"/>
            </w:tcMar>
          </w:tcPr>
          <w:p>
            <w:pPr>
              <w:spacing w:after="60"/>
            </w:pPr>
            <w:r>
              <w:rPr>
                <w:rFonts w:ascii="Calibri" w:cs="Calibri" w:eastAsia="Calibri" w:hAnsi="Calibri"/>
                <w:b/>
                <w:bCs/>
                <w:color w:val="1F3864"/>
                <w:sz w:val="20"/>
                <w:szCs w:val="20"/>
              </w:rPr>
              <w:t xml:space="preserve">ℹ  GUIDANCE — Facilitator Note — Module 1</w:t>
            </w:r>
          </w:p>
          <w:p>
            <w:pPr>
              <w:spacing w:after="40" w:before="0" w:line="276"/>
            </w:pPr>
            <w:r>
              <w:rPr>
                <w:rFonts w:ascii="Calibri" w:cs="Calibri" w:eastAsia="Calibri" w:hAnsi="Calibri"/>
                <w:color w:val="404040"/>
                <w:sz w:val="20"/>
                <w:szCs w:val="20"/>
              </w:rPr>
              <w:t xml:space="preserve">Listen for: whether anyone can inventory what data has actually been sent to this vendor — the inability to answer is the module’s central finding; whether the contract’s notification, security, and indemnification clauses are known or assumed; whether a single internal lead and a single channel to the vendor are established. Document the missing data inventory and any unknown contract terms as findings for the AAR.</w:t>
            </w:r>
          </w:p>
        </w:tc>
      </w:tr>
    </w:tbl>
    <w:p>
      <w:pPr>
        <w:keepNext/>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INJECT 4: Scope Clarified</w:t>
      </w:r>
      <w:r>
        <w:rPr>
          <w:rFonts w:ascii="Calibri" w:cs="Calibri" w:eastAsia="Calibri" w:hAnsi="Calibri"/>
          <w:color w:val="404040"/>
          <w:sz w:val="21"/>
          <w:szCs w:val="21"/>
        </w:rPr>
        <w:t xml:space="preserve"/>
      </w:r>
    </w:p>
    <w:p>
      <w:pPr>
        <w:spacing w:after="120" w:before="0" w:line="276"/>
      </w:pPr>
      <w:r>
        <w:rPr>
          <w:rFonts w:ascii="Calibri" w:cs="Calibri" w:eastAsia="Calibri" w:hAnsi="Calibri"/>
          <w:color w:val="404040"/>
          <w:sz w:val="21"/>
          <w:szCs w:val="21"/>
        </w:rPr>
        <w:t xml:space="preserve">After pressing the vendor, you receive an updated assessment: approximately [CUSTOMIZE: number] of your clients’ records were in the affected system, including [CUSTOMIZE: names, SSNs, account numbers, financial statements, tax returns]. The vendor states that “there is no evidence that the data was exfiltrated,” but they cannot rule it out. They offer to provide 12 months of credit monitoring for affected individuals at their expense.</w:t>
      </w:r>
    </w:p>
    <w:p>
      <w:pPr>
        <w:keepNext/>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INJECT 5: Customer Inquiry Before Notification</w:t>
      </w:r>
      <w:r>
        <w:rPr>
          <w:rFonts w:ascii="Calibri" w:cs="Calibri" w:eastAsia="Calibri" w:hAnsi="Calibri"/>
          <w:color w:val="404040"/>
          <w:sz w:val="21"/>
          <w:szCs w:val="21"/>
        </w:rPr>
        <w:t xml:space="preserve"/>
      </w:r>
    </w:p>
    <w:p>
      <w:pPr>
        <w:spacing w:after="120" w:before="0" w:line="276"/>
      </w:pPr>
      <w:r>
        <w:rPr>
          <w:rFonts w:ascii="Calibri" w:cs="Calibri" w:eastAsia="Calibri" w:hAnsi="Calibri"/>
          <w:color w:val="404040"/>
          <w:sz w:val="21"/>
          <w:szCs w:val="21"/>
        </w:rPr>
        <w:t xml:space="preserve">Before you have completed your notification plan, a client calls: “I received a fraud alert on my credit card. I just read online that [VENDOR NAME] had a data breach. You send my information to them, don’t you? Was my data affected?” Your customer service representative asks leadership: “What do I say? We haven’t sent notification letters yet.”</w:t>
      </w:r>
    </w:p>
    <w:p>
      <w:pPr>
        <w:keepNext/>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INJECT 6: Regulatory Notification Coordination</w:t>
      </w:r>
      <w:r>
        <w:rPr>
          <w:rFonts w:ascii="Calibri" w:cs="Calibri" w:eastAsia="Calibri" w:hAnsi="Calibri"/>
          <w:color w:val="404040"/>
          <w:sz w:val="21"/>
          <w:szCs w:val="21"/>
        </w:rPr>
        <w:t xml:space="preserve"/>
      </w:r>
    </w:p>
    <w:p>
      <w:pPr>
        <w:keepNext/>
        <w:spacing w:after="120" w:before="0" w:line="276"/>
      </w:pPr>
      <w:r>
        <w:rPr>
          <w:rFonts w:ascii="Calibri" w:cs="Calibri" w:eastAsia="Calibri" w:hAnsi="Calibri"/>
          <w:color w:val="404040"/>
          <w:sz w:val="21"/>
          <w:szCs w:val="21"/>
        </w:rPr>
        <w:t xml:space="preserve">Your compliance team maps the notification requirements:</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2400"/>
        <w:gridCol w:w="3400"/>
        <w:gridCol w:w="2200"/>
        <w:gridCol w:w="1360"/>
      </w:tblGrid>
      <w:tr>
        <w:trPr>
          <w:tblHeader/>
        </w:trPr>
        <w:tc>
          <w:tcPr>
            <w:tcW w:type="dxa" w:w="24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Regulator / Audience</w:t>
            </w:r>
          </w:p>
        </w:tc>
        <w:tc>
          <w:tcPr>
            <w:tcW w:type="dxa" w:w="34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Requirement</w:t>
            </w:r>
          </w:p>
        </w:tc>
        <w:tc>
          <w:tcPr>
            <w:tcW w:type="dxa" w:w="22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Timeline</w:t>
            </w:r>
          </w:p>
        </w:tc>
        <w:tc>
          <w:tcPr>
            <w:tcW w:type="dxa" w:w="13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Status</w:t>
            </w:r>
          </w:p>
        </w:tc>
      </w:tr>
      <w:tr>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[State banking regulator]</w:t>
            </w:r>
          </w:p>
        </w:tc>
        <w:tc>
          <w:tcPr>
            <w:tcW w:type="dxa" w:w="3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Notification of security incident</w:t>
            </w:r>
          </w:p>
        </w:tc>
        <w:tc>
          <w:tcPr>
            <w:tcW w:type="dxa" w:w="22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[24–72 hours from discovery]</w:t>
            </w:r>
          </w:p>
        </w:tc>
        <w:tc>
          <w:tcPr>
            <w:tcW w:type="dxa" w:w="13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Pending</w:t>
            </w:r>
          </w:p>
        </w:tc>
      </w:tr>
      <w:tr>
        <w:tc>
          <w:tcPr>
            <w:tcW w:type="dxa" w:w="24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[FTC / GLBA if applicable]</w:t>
            </w:r>
          </w:p>
        </w:tc>
        <w:tc>
          <w:tcPr>
            <w:tcW w:type="dxa" w:w="34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Notification under Safeguards Rule</w:t>
            </w:r>
          </w:p>
        </w:tc>
        <w:tc>
          <w:tcPr>
            <w:tcW w:type="dxa" w:w="22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[As soon as practicable]</w:t>
            </w:r>
          </w:p>
        </w:tc>
        <w:tc>
          <w:tcPr>
            <w:tcW w:type="dxa" w:w="13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Pending</w:t>
            </w:r>
          </w:p>
        </w:tc>
      </w:tr>
      <w:tr>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[State AG / breach notification]</w:t>
            </w:r>
          </w:p>
        </w:tc>
        <w:tc>
          <w:tcPr>
            <w:tcW w:type="dxa" w:w="3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Written notice to AG if [threshold] individuals affected</w:t>
            </w:r>
          </w:p>
        </w:tc>
        <w:tc>
          <w:tcPr>
            <w:tcW w:type="dxa" w:w="22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[Per state law: 30–60 days]</w:t>
            </w:r>
          </w:p>
        </w:tc>
        <w:tc>
          <w:tcPr>
            <w:tcW w:type="dxa" w:w="13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Pending</w:t>
            </w:r>
          </w:p>
        </w:tc>
      </w:tr>
      <w:tr>
        <w:tc>
          <w:tcPr>
            <w:tcW w:type="dxa" w:w="24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Individual customers</w:t>
            </w:r>
          </w:p>
        </w:tc>
        <w:tc>
          <w:tcPr>
            <w:tcW w:type="dxa" w:w="34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Written notice with breach details and protective steps</w:t>
            </w:r>
          </w:p>
        </w:tc>
        <w:tc>
          <w:tcPr>
            <w:tcW w:type="dxa" w:w="22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[Per state law and GLBA]</w:t>
            </w:r>
          </w:p>
        </w:tc>
        <w:tc>
          <w:tcPr>
            <w:tcW w:type="dxa" w:w="13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Pending</w:t>
            </w:r>
          </w:p>
        </w:tc>
      </w:tr>
      <w:tr>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Media (if applicable)</w:t>
            </w:r>
          </w:p>
        </w:tc>
        <w:tc>
          <w:tcPr>
            <w:tcW w:type="dxa" w:w="3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If [500+/1,000+] individuals in a single state</w:t>
            </w:r>
          </w:p>
        </w:tc>
        <w:tc>
          <w:tcPr>
            <w:tcW w:type="dxa" w:w="22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[Per state law]</w:t>
            </w:r>
          </w:p>
        </w:tc>
        <w:tc>
          <w:tcPr>
            <w:tcW w:type="dxa" w:w="13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TBD based on scope</w:t>
            </w:r>
          </w:p>
        </w:tc>
      </w:tr>
    </w:tbl>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1F3864" w:sz="24"/>
              <w:bottom w:val="none" w:color="FFFFFF" w:sz="0"/>
              <w:right w:val="none" w:color="FFFFFF" w:sz="0"/>
            </w:tcBorders>
            <w:shd w:fill="EDF2F9" w:val="clear"/>
            <w:tcMar>
              <w:top w:type="dxa" w:w="100"/>
              <w:left w:type="dxa" w:w="160"/>
              <w:bottom w:type="dxa" w:w="100"/>
              <w:right w:type="dxa" w:w="160"/>
            </w:tcMar>
          </w:tcPr>
          <w:p>
            <w:pPr>
              <w:spacing w:after="60"/>
            </w:pPr>
            <w:r>
              <w:rPr>
                <w:rFonts w:ascii="Calibri" w:cs="Calibri" w:eastAsia="Calibri" w:hAnsi="Calibri"/>
                <w:b/>
                <w:bCs/>
                <w:color w:val="1F3864"/>
                <w:sz w:val="20"/>
                <w:szCs w:val="20"/>
              </w:rPr>
              <w:t xml:space="preserve">ℹ  GUIDANCE — Facilitator Note — Module 2</w:t>
            </w:r>
          </w:p>
          <w:p>
            <w:pPr>
              <w:spacing w:after="40" w:before="0" w:line="276"/>
            </w:pPr>
            <w:r>
              <w:rPr>
                <w:rFonts w:ascii="Calibri" w:cs="Calibri" w:eastAsia="Calibri" w:hAnsi="Calibri"/>
                <w:color w:val="404040"/>
                <w:sz w:val="20"/>
                <w:szCs w:val="20"/>
              </w:rPr>
              <w:t xml:space="preserve">Listen for: how the room interprets “no evidence of exfiltration but cannot rule it out” — a hopeful reading versus a conservative notification posture; what customer-facing staff are told to say before letters go out, and whether legal has approved it; whether the multi-regulator map becomes a sequenced plan with named owners or stays a table on the wall. Walk the mapping slowly — it is the scenario’s centerpiece — and document every timeline no one knew as a finding for the AAR.</w:t>
            </w:r>
          </w:p>
        </w:tc>
      </w:tr>
    </w:tbl>
    <w:p>
      <w:pPr>
        <w:keepNext/>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INJECT 7: Notification Execution</w:t>
      </w:r>
      <w:r>
        <w:rPr>
          <w:rFonts w:ascii="Calibri" w:cs="Calibri" w:eastAsia="Calibri" w:hAnsi="Calibri"/>
          <w:color w:val="404040"/>
          <w:sz w:val="21"/>
          <w:szCs w:val="21"/>
        </w:rPr>
        <w:t xml:space="preserve"/>
      </w:r>
    </w:p>
    <w:p>
      <w:pPr>
        <w:keepNext/>
        <w:spacing w:after="120" w:before="0" w:line="276"/>
      </w:pPr>
      <w:r>
        <w:rPr>
          <w:rFonts w:ascii="Calibri" w:cs="Calibri" w:eastAsia="Calibri" w:hAnsi="Calibri"/>
          <w:color w:val="404040"/>
          <w:sz w:val="21"/>
          <w:szCs w:val="21"/>
        </w:rPr>
        <w:t xml:space="preserve">You are now 3 weeks into the incident. Customer notification letters have been sent to [CUSTOMIZE: number] individuals. Your customer service team is handling a high volume of calls. [CUSTOMIZE: 5–15] customers have closed their accounts. The local newspaper has published a story about the vendor breach, naming your organization as an affected client. Your compliance team has filed notifications with [applicable regulators]. Then your largest institutional client emails the CEO directly:</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9360"/>
      </w:tblGrid>
      <w:tr>
        <w:tc>
          <w:tcPr>
            <w:tcW w:type="dxa" w:w="9360"/>
            <w:shd w:fill="595959" w:val="clear"/>
            <w:tcMar>
              <w:top w:type="dxa" w:w="80"/>
              <w:left w:type="dxa" w:w="160"/>
              <w:bottom w:type="dxa" w:w="80"/>
              <w:right w:type="dxa" w:w="160"/>
            </w:tcMar>
          </w:tcPr>
          <w:p>
            <w:pPr>
              <w:spacing w:after="0"/>
            </w:pPr>
            <w:r>
              <w:rPr>
                <w:rFonts w:ascii="Calibri" w:cs="Calibri" w:eastAsia="Calibri" w:hAnsi="Calibri"/>
                <w:b/>
                <w:bCs/>
                <w:color w:val="FFFFFF"/>
                <w:sz w:val="20"/>
                <w:szCs w:val="20"/>
              </w:rPr>
              <w:t xml:space="preserve">SIMULATED ARTIFACT — Email from Institutional Client</w:t>
            </w:r>
          </w:p>
        </w:tc>
      </w:tr>
      <w:tr>
        <w:tc>
          <w:tcPr>
            <w:tcW w:type="dxa" w:w="9360"/>
            <w:shd w:fill="FAFAFA" w:val="clear"/>
            <w:tcMar>
              <w:top w:type="dxa" w:w="120"/>
              <w:left w:type="dxa" w:w="200"/>
              <w:bottom w:type="dxa" w:w="120"/>
              <w:right w:type="dxa" w:w="200"/>
            </w:tcMar>
          </w:tcPr>
          <w:p>
            <w:pPr>
              <w:spacing w:after="60"/>
            </w:pPr>
            <w:r>
              <w:rPr>
                <w:rFonts w:ascii="Consolas" w:cs="Consolas" w:eastAsia="Consolas" w:hAnsi="Consolas"/>
                <w:color w:val="404040"/>
                <w:sz w:val="19"/>
                <w:szCs w:val="19"/>
              </w:rPr>
              <w:t xml:space="preserve"/>
            </w:r>
            <w:r>
              <w:rPr>
                <w:rFonts w:ascii="Consolas" w:cs="Consolas" w:eastAsia="Consolas" w:hAnsi="Consolas"/>
                <w:b/>
                <w:bCs/>
                <w:color w:val="404040"/>
                <w:sz w:val="19"/>
                <w:szCs w:val="19"/>
              </w:rPr>
              <w:t xml:space="preserve">From:</w:t>
            </w:r>
            <w:r>
              <w:rPr>
                <w:rFonts w:ascii="Consolas" w:cs="Consolas" w:eastAsia="Consolas" w:hAnsi="Consolas"/>
                <w:color w:val="404040"/>
                <w:sz w:val="19"/>
                <w:szCs w:val="19"/>
              </w:rPr>
              <w:t xml:space="preserve"> [CUSTOMIZE: name], [CUSTOMIZE: title], [CUSTOMIZE: largest institutional client]</w:t>
            </w:r>
          </w:p>
          <w:p>
            <w:pPr>
              <w:spacing w:after="60"/>
            </w:pPr>
            <w:r>
              <w:rPr>
                <w:rFonts w:ascii="Consolas" w:cs="Consolas" w:eastAsia="Consolas" w:hAnsi="Consolas"/>
                <w:color w:val="404040"/>
                <w:sz w:val="19"/>
                <w:szCs w:val="19"/>
              </w:rPr>
              <w:t xml:space="preserve"/>
            </w:r>
            <w:r>
              <w:rPr>
                <w:rFonts w:ascii="Consolas" w:cs="Consolas" w:eastAsia="Consolas" w:hAnsi="Consolas"/>
                <w:b/>
                <w:bCs/>
                <w:color w:val="404040"/>
                <w:sz w:val="19"/>
                <w:szCs w:val="19"/>
              </w:rPr>
              <w:t xml:space="preserve">To:</w:t>
            </w:r>
            <w:r>
              <w:rPr>
                <w:rFonts w:ascii="Consolas" w:cs="Consolas" w:eastAsia="Consolas" w:hAnsi="Consolas"/>
                <w:color w:val="404040"/>
                <w:sz w:val="19"/>
                <w:szCs w:val="19"/>
              </w:rPr>
              <w:t xml:space="preserve"> [CEO/President], [ORGANIZATION NAME]</w:t>
            </w:r>
          </w:p>
          <w:p>
            <w:pPr>
              <w:spacing w:after="60"/>
            </w:pPr>
            <w:r>
              <w:rPr>
                <w:rFonts w:ascii="Consolas" w:cs="Consolas" w:eastAsia="Consolas" w:hAnsi="Consolas"/>
                <w:color w:val="404040"/>
                <w:sz w:val="19"/>
                <w:szCs w:val="19"/>
              </w:rPr>
              <w:t xml:space="preserve"/>
            </w:r>
            <w:r>
              <w:rPr>
                <w:rFonts w:ascii="Consolas" w:cs="Consolas" w:eastAsia="Consolas" w:hAnsi="Consolas"/>
                <w:b/>
                <w:bCs/>
                <w:color w:val="404040"/>
                <w:sz w:val="19"/>
                <w:szCs w:val="19"/>
              </w:rPr>
              <w:t xml:space="preserve">Subject:</w:t>
            </w:r>
            <w:r>
              <w:rPr>
                <w:rFonts w:ascii="Consolas" w:cs="Consolas" w:eastAsia="Consolas" w:hAnsi="Consolas"/>
                <w:color w:val="404040"/>
                <w:sz w:val="19"/>
                <w:szCs w:val="19"/>
              </w:rPr>
              <w:t xml:space="preserve"> [VENDOR NAME] breach — questions before our review meeting</w:t>
            </w:r>
          </w:p>
          <w:p>
            <w:pPr>
              <w:spacing w:after="60"/>
            </w:pPr>
            <w:r>
              <w:rPr>
                <w:rFonts w:ascii="Consolas" w:cs="Consolas" w:eastAsia="Consolas" w:hAnsi="Consolas"/>
                <w:color w:val="404040"/>
                <w:sz w:val="19"/>
                <w:szCs w:val="19"/>
              </w:rPr>
              <w:t xml:space="preserve"/>
            </w:r>
          </w:p>
          <w:p>
            <w:pPr>
              <w:spacing w:after="60"/>
            </w:pPr>
            <w:r>
              <w:rPr>
                <w:rFonts w:ascii="Consolas" w:cs="Consolas" w:eastAsia="Consolas" w:hAnsi="Consolas"/>
                <w:color w:val="404040"/>
                <w:sz w:val="19"/>
                <w:szCs w:val="19"/>
              </w:rPr>
              <w:t xml:space="preserve">[First name],</w:t>
            </w:r>
          </w:p>
          <w:p>
            <w:pPr>
              <w:spacing w:after="60"/>
            </w:pPr>
            <w:r>
              <w:rPr>
                <w:rFonts w:ascii="Consolas" w:cs="Consolas" w:eastAsia="Consolas" w:hAnsi="Consolas"/>
                <w:color w:val="404040"/>
                <w:sz w:val="19"/>
                <w:szCs w:val="19"/>
              </w:rPr>
              <w:t xml:space="preserve"/>
            </w:r>
          </w:p>
          <w:p>
            <w:pPr>
              <w:spacing w:after="60"/>
            </w:pPr>
            <w:r>
              <w:rPr>
                <w:rFonts w:ascii="Consolas" w:cs="Consolas" w:eastAsia="Consolas" w:hAnsi="Consolas"/>
                <w:color w:val="404040"/>
                <w:sz w:val="19"/>
                <w:szCs w:val="19"/>
              </w:rPr>
              <w:t xml:space="preserve">We saw the [CUSTOMIZE: local newspaper] story this morning naming [ORGANIZATION NAME] among the organizations affected by the [VENDOR NAME] breach.</w:t>
            </w:r>
          </w:p>
          <w:p>
            <w:pPr>
              <w:spacing w:after="60"/>
            </w:pPr>
            <w:r>
              <w:rPr>
                <w:rFonts w:ascii="Consolas" w:cs="Consolas" w:eastAsia="Consolas" w:hAnsi="Consolas"/>
                <w:color w:val="404040"/>
                <w:sz w:val="19"/>
                <w:szCs w:val="19"/>
              </w:rPr>
              <w:t xml:space="preserve"/>
            </w:r>
          </w:p>
          <w:p>
            <w:pPr>
              <w:spacing w:after="60"/>
            </w:pPr>
            <w:r>
              <w:rPr>
                <w:rFonts w:ascii="Consolas" w:cs="Consolas" w:eastAsia="Consolas" w:hAnsi="Consolas"/>
                <w:color w:val="404040"/>
                <w:sz w:val="19"/>
                <w:szCs w:val="19"/>
              </w:rPr>
              <w:t xml:space="preserve">Before our [CUSTOMIZE: quarterly review / renewal discussion], we need the following in writing: (1) confirmation of whether our account data was in the affected systems; (2) what you knew and when; (3) what you are changing about how our data is shared with third parties.</w:t>
            </w:r>
          </w:p>
          <w:p>
            <w:pPr>
              <w:spacing w:after="60"/>
            </w:pPr>
            <w:r>
              <w:rPr>
                <w:rFonts w:ascii="Consolas" w:cs="Consolas" w:eastAsia="Consolas" w:hAnsi="Consolas"/>
                <w:color w:val="404040"/>
                <w:sz w:val="19"/>
                <w:szCs w:val="19"/>
              </w:rPr>
              <w:t xml:space="preserve"/>
            </w:r>
          </w:p>
          <w:p>
            <w:pPr>
              <w:spacing w:after="60"/>
            </w:pPr>
            <w:r>
              <w:rPr>
                <w:rFonts w:ascii="Consolas" w:cs="Consolas" w:eastAsia="Consolas" w:hAnsi="Consolas"/>
                <w:color w:val="404040"/>
                <w:sz w:val="19"/>
                <w:szCs w:val="19"/>
              </w:rPr>
              <w:t xml:space="preserve">Our board meets on [CUSTOMIZE: date]. We would rather bring them your answers than the newspaper’s.</w:t>
            </w:r>
          </w:p>
          <w:p>
            <w:pPr>
              <w:spacing w:after="60"/>
            </w:pPr>
            <w:r>
              <w:rPr>
                <w:rFonts w:ascii="Consolas" w:cs="Consolas" w:eastAsia="Consolas" w:hAnsi="Consolas"/>
                <w:color w:val="404040"/>
                <w:sz w:val="19"/>
                <w:szCs w:val="19"/>
              </w:rPr>
              <w:t xml:space="preserve"/>
            </w:r>
          </w:p>
          <w:p>
            <w:pPr>
              <w:spacing w:after="60"/>
            </w:pPr>
            <w:r>
              <w:rPr>
                <w:rFonts w:ascii="Consolas" w:cs="Consolas" w:eastAsia="Consolas" w:hAnsi="Consolas"/>
                <w:color w:val="404040"/>
                <w:sz w:val="19"/>
                <w:szCs w:val="19"/>
              </w:rPr>
              <w:t xml:space="preserve">Regards,</w:t>
            </w:r>
          </w:p>
          <w:p>
            <w:pPr>
              <w:spacing w:after="60"/>
            </w:pPr>
            <w:r>
              <w:rPr>
                <w:rFonts w:ascii="Consolas" w:cs="Consolas" w:eastAsia="Consolas" w:hAnsi="Consolas"/>
                <w:color w:val="404040"/>
                <w:sz w:val="19"/>
                <w:szCs w:val="19"/>
              </w:rPr>
              <w:t xml:space="preserve">[CUSTOMIZE: name]</w:t>
            </w:r>
          </w:p>
        </w:tc>
      </w:tr>
    </w:tbl>
    <w:p>
      <w:pPr>
        <w:keepNext/>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INJECT 8: Vendor Relationship Decision</w:t>
      </w:r>
      <w:r>
        <w:rPr>
          <w:rFonts w:ascii="Calibri" w:cs="Calibri" w:eastAsia="Calibri" w:hAnsi="Calibri"/>
          <w:color w:val="404040"/>
          <w:sz w:val="21"/>
          <w:szCs w:val="21"/>
        </w:rPr>
        <w:t xml:space="preserve"/>
      </w:r>
    </w:p>
    <w:p>
      <w:pPr>
        <w:spacing w:after="120" w:before="0" w:line="276"/>
      </w:pPr>
      <w:r>
        <w:rPr>
          <w:rFonts w:ascii="Calibri" w:cs="Calibri" w:eastAsia="Calibri" w:hAnsi="Calibri"/>
          <w:color w:val="404040"/>
          <w:sz w:val="21"/>
          <w:szCs w:val="21"/>
        </w:rPr>
        <w:t xml:space="preserve">The CEO asks the leadership team: “Do we continue using this vendor? They were breached, they delayed notification, and they can’t confirm whether data was exfiltrated. But switching vendors will take [CUSTOMIZE: months] and cost $[CUSTOMIZE: amount]. And I need to know: do we have security requirements in our other vendor contracts, or is this the same gap everywhere?”</w:t>
      </w: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1F3864" w:sz="24"/>
              <w:bottom w:val="none" w:color="FFFFFF" w:sz="0"/>
              <w:right w:val="none" w:color="FFFFFF" w:sz="0"/>
            </w:tcBorders>
            <w:shd w:fill="EDF2F9" w:val="clear"/>
            <w:tcMar>
              <w:top w:type="dxa" w:w="100"/>
              <w:left w:type="dxa" w:w="160"/>
              <w:bottom w:type="dxa" w:w="100"/>
              <w:right w:type="dxa" w:w="160"/>
            </w:tcMar>
          </w:tcPr>
          <w:p>
            <w:pPr>
              <w:spacing w:after="60"/>
            </w:pPr>
            <w:r>
              <w:rPr>
                <w:rFonts w:ascii="Calibri" w:cs="Calibri" w:eastAsia="Calibri" w:hAnsi="Calibri"/>
                <w:b/>
                <w:bCs/>
                <w:color w:val="1F3864"/>
                <w:sz w:val="20"/>
                <w:szCs w:val="20"/>
              </w:rPr>
              <w:t xml:space="preserve">ℹ  GUIDANCE — Facilitator Note — Module 3</w:t>
            </w:r>
          </w:p>
          <w:p>
            <w:pPr>
              <w:spacing w:after="40" w:before="0" w:line="276"/>
            </w:pPr>
            <w:r>
              <w:rPr>
                <w:rFonts w:ascii="Calibri" w:cs="Calibri" w:eastAsia="Calibri" w:hAnsi="Calibri"/>
                <w:color w:val="404040"/>
                <w:sz w:val="20"/>
                <w:szCs w:val="20"/>
              </w:rPr>
              <w:t xml:space="preserve">Listen for: whether the vendor decision weighs switching cost against demonstrated vendor behavior (breach, delayed notification, unconfirmed exfiltration); whether the CEO’s “is this the same gap everywhere?” question triggers a vendor-contract inventory with an owner and a date; how the room proposes to measure long-term customer attrition, not just week-one closures. Document missing contractual security requirements and any unassessed vendors as findings for the AAR.</w:t>
            </w:r>
          </w:p>
        </w:tc>
      </w:tr>
    </w:tbl>
    <w:p>
      <w:pPr>
        <w:pStyle w:val="Heading2"/>
        <w:keepNext/>
        <w:spacing w:after="110" w:before="240"/>
      </w:pPr>
      <w:r>
        <w:rPr>
          <w:rFonts w:ascii="Calibri" w:cs="Calibri" w:eastAsia="Calibri" w:hAnsi="Calibri"/>
          <w:b/>
          <w:bCs/>
          <w:color w:val="2E74B5"/>
          <w:sz w:val="25"/>
          <w:szCs w:val="25"/>
        </w:rPr>
        <w:t xml:space="preserve">MSEL Summary</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700"/>
        <w:gridCol w:w="760"/>
        <w:gridCol w:w="900"/>
        <w:gridCol w:w="1060"/>
        <w:gridCol w:w="3140"/>
        <w:gridCol w:w="2800"/>
      </w:tblGrid>
      <w:tr>
        <w:trPr>
          <w:tblHeader/>
        </w:trPr>
        <w:tc>
          <w:tcPr>
            <w:tcW w:type="dxa" w:w="7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Inject</w:t>
            </w:r>
          </w:p>
        </w:tc>
        <w:tc>
          <w:tcPr>
            <w:tcW w:type="dxa" w:w="7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Time</w:t>
            </w:r>
          </w:p>
        </w:tc>
        <w:tc>
          <w:tcPr>
            <w:tcW w:type="dxa" w:w="9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Module</w:t>
            </w:r>
          </w:p>
        </w:tc>
        <w:tc>
          <w:tcPr>
            <w:tcW w:type="dxa" w:w="10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Method</w:t>
            </w:r>
          </w:p>
        </w:tc>
        <w:tc>
          <w:tcPr>
            <w:tcW w:type="dxa" w:w="314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Content Summary</w:t>
            </w:r>
          </w:p>
        </w:tc>
        <w:tc>
          <w:tcPr>
            <w:tcW w:type="dxa" w:w="28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Expected Discussion</w:t>
            </w:r>
          </w:p>
        </w:tc>
      </w:tr>
      <w:tr>
        <w:tc>
          <w:tcPr>
            <w:tcW w:type="dxa" w:w="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w:t>
            </w:r>
          </w:p>
        </w:tc>
        <w:tc>
          <w:tcPr>
            <w:tcW w:type="dxa" w:w="7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+0:00</w:t>
            </w:r>
          </w:p>
        </w:tc>
        <w:tc>
          <w:tcPr>
            <w:tcW w:type="dxa" w:w="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w:t>
            </w:r>
          </w:p>
        </w:tc>
        <w:tc>
          <w:tcPr>
            <w:tcW w:type="dxa" w:w="10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Artifact</w:t>
            </w:r>
          </w:p>
        </w:tc>
        <w:tc>
          <w:tcPr>
            <w:tcW w:type="dxa" w:w="314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Vendor breach notification received, vague scope</w:t>
            </w:r>
          </w:p>
        </w:tc>
        <w:tc>
          <w:tcPr>
            <w:tcW w:type="dxa" w:w="2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Vendor management, initial response</w:t>
            </w:r>
          </w:p>
        </w:tc>
      </w:tr>
      <w:tr>
        <w:tc>
          <w:tcPr>
            <w:tcW w:type="dxa" w:w="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2</w:t>
            </w:r>
          </w:p>
        </w:tc>
        <w:tc>
          <w:tcPr>
            <w:tcW w:type="dxa" w:w="7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+0:10</w:t>
            </w:r>
          </w:p>
        </w:tc>
        <w:tc>
          <w:tcPr>
            <w:tcW w:type="dxa" w:w="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w:t>
            </w:r>
          </w:p>
        </w:tc>
        <w:tc>
          <w:tcPr>
            <w:tcW w:type="dxa" w:w="10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Verbal</w:t>
            </w:r>
          </w:p>
        </w:tc>
        <w:tc>
          <w:tcPr>
            <w:tcW w:type="dxa" w:w="314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Scope uncertainty: what data did the vendor have?</w:t>
            </w:r>
          </w:p>
        </w:tc>
        <w:tc>
          <w:tcPr>
            <w:tcW w:type="dxa" w:w="2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Data inventory, scope determination</w:t>
            </w:r>
          </w:p>
        </w:tc>
      </w:tr>
      <w:tr>
        <w:tc>
          <w:tcPr>
            <w:tcW w:type="dxa" w:w="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3</w:t>
            </w:r>
          </w:p>
        </w:tc>
        <w:tc>
          <w:tcPr>
            <w:tcW w:type="dxa" w:w="7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+0:25</w:t>
            </w:r>
          </w:p>
        </w:tc>
        <w:tc>
          <w:tcPr>
            <w:tcW w:type="dxa" w:w="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w:t>
            </w:r>
          </w:p>
        </w:tc>
        <w:tc>
          <w:tcPr>
            <w:tcW w:type="dxa" w:w="10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Verbal</w:t>
            </w:r>
          </w:p>
        </w:tc>
        <w:tc>
          <w:tcPr>
            <w:tcW w:type="dxa" w:w="314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Regulatory clock: when does it start?</w:t>
            </w:r>
          </w:p>
        </w:tc>
        <w:tc>
          <w:tcPr>
            <w:tcW w:type="dxa" w:w="2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Legal analysis, timeline urgency</w:t>
            </w:r>
          </w:p>
        </w:tc>
      </w:tr>
      <w:tr>
        <w:tc>
          <w:tcPr>
            <w:tcW w:type="dxa" w:w="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4</w:t>
            </w:r>
          </w:p>
        </w:tc>
        <w:tc>
          <w:tcPr>
            <w:tcW w:type="dxa" w:w="7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+0:35</w:t>
            </w:r>
          </w:p>
        </w:tc>
        <w:tc>
          <w:tcPr>
            <w:tcW w:type="dxa" w:w="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2</w:t>
            </w:r>
          </w:p>
        </w:tc>
        <w:tc>
          <w:tcPr>
            <w:tcW w:type="dxa" w:w="10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Verbal</w:t>
            </w:r>
          </w:p>
        </w:tc>
        <w:tc>
          <w:tcPr>
            <w:tcW w:type="dxa" w:w="314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Scope clarified: records count, data types, no confirmed exfiltration</w:t>
            </w:r>
          </w:p>
        </w:tc>
        <w:tc>
          <w:tcPr>
            <w:tcW w:type="dxa" w:w="2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Risk assessment, notification threshold</w:t>
            </w:r>
          </w:p>
        </w:tc>
      </w:tr>
      <w:tr>
        <w:tc>
          <w:tcPr>
            <w:tcW w:type="dxa" w:w="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5</w:t>
            </w:r>
          </w:p>
        </w:tc>
        <w:tc>
          <w:tcPr>
            <w:tcW w:type="dxa" w:w="7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+0:50</w:t>
            </w:r>
          </w:p>
        </w:tc>
        <w:tc>
          <w:tcPr>
            <w:tcW w:type="dxa" w:w="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2</w:t>
            </w:r>
          </w:p>
        </w:tc>
        <w:tc>
          <w:tcPr>
            <w:tcW w:type="dxa" w:w="10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Verbal</w:t>
            </w:r>
          </w:p>
        </w:tc>
        <w:tc>
          <w:tcPr>
            <w:tcW w:type="dxa" w:w="314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Customer experiencing fraud, asking before notification sent</w:t>
            </w:r>
          </w:p>
        </w:tc>
        <w:tc>
          <w:tcPr>
            <w:tcW w:type="dxa" w:w="2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Pre-notification communication, legal risk</w:t>
            </w:r>
          </w:p>
        </w:tc>
      </w:tr>
      <w:tr>
        <w:tc>
          <w:tcPr>
            <w:tcW w:type="dxa" w:w="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6</w:t>
            </w:r>
          </w:p>
        </w:tc>
        <w:tc>
          <w:tcPr>
            <w:tcW w:type="dxa" w:w="7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+1:00</w:t>
            </w:r>
          </w:p>
        </w:tc>
        <w:tc>
          <w:tcPr>
            <w:tcW w:type="dxa" w:w="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2</w:t>
            </w:r>
          </w:p>
        </w:tc>
        <w:tc>
          <w:tcPr>
            <w:tcW w:type="dxa" w:w="10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Verbal</w:t>
            </w:r>
          </w:p>
        </w:tc>
        <w:tc>
          <w:tcPr>
            <w:tcW w:type="dxa" w:w="314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Regulatory notification mapping and coordination</w:t>
            </w:r>
          </w:p>
        </w:tc>
        <w:tc>
          <w:tcPr>
            <w:tcW w:type="dxa" w:w="2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Multi-regulator management</w:t>
            </w:r>
          </w:p>
        </w:tc>
      </w:tr>
      <w:tr>
        <w:tc>
          <w:tcPr>
            <w:tcW w:type="dxa" w:w="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7</w:t>
            </w:r>
          </w:p>
        </w:tc>
        <w:tc>
          <w:tcPr>
            <w:tcW w:type="dxa" w:w="7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+1:25</w:t>
            </w:r>
          </w:p>
        </w:tc>
        <w:tc>
          <w:tcPr>
            <w:tcW w:type="dxa" w:w="9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3</w:t>
            </w:r>
          </w:p>
        </w:tc>
        <w:tc>
          <w:tcPr>
            <w:tcW w:type="dxa" w:w="10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Artifact</w:t>
            </w:r>
          </w:p>
        </w:tc>
        <w:tc>
          <w:tcPr>
            <w:tcW w:type="dxa" w:w="314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Notification executed, account closures, media coverage, client email</w:t>
            </w:r>
          </w:p>
        </w:tc>
        <w:tc>
          <w:tcPr>
            <w:tcW w:type="dxa" w:w="28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Impact management, customer retention</w:t>
            </w:r>
          </w:p>
        </w:tc>
      </w:tr>
      <w:tr>
        <w:tc>
          <w:tcPr>
            <w:tcW w:type="dxa" w:w="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8</w:t>
            </w:r>
          </w:p>
        </w:tc>
        <w:tc>
          <w:tcPr>
            <w:tcW w:type="dxa" w:w="7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+1:40</w:t>
            </w:r>
          </w:p>
        </w:tc>
        <w:tc>
          <w:tcPr>
            <w:tcW w:type="dxa" w:w="9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3</w:t>
            </w:r>
          </w:p>
        </w:tc>
        <w:tc>
          <w:tcPr>
            <w:tcW w:type="dxa" w:w="10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Verbal</w:t>
            </w:r>
          </w:p>
        </w:tc>
        <w:tc>
          <w:tcPr>
            <w:tcW w:type="dxa" w:w="314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Vendor relationship decision and broader vendor risk question</w:t>
            </w:r>
          </w:p>
        </w:tc>
        <w:tc>
          <w:tcPr>
            <w:tcW w:type="dxa" w:w="28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Vendor management strategy, contract review</w:t>
            </w:r>
          </w:p>
        </w:tc>
      </w:tr>
    </w:tbl>
    <w:p>
      <w:r>
        <w:br w:type="page"/>
      </w:r>
    </w:p>
    <w:p>
      <w:pPr>
        <w:pStyle w:val="Heading1"/>
        <w:keepNext/>
        <w:spacing w:after="140" w:before="320"/>
      </w:pPr>
      <w:r>
        <w:rPr>
          <w:rFonts w:ascii="Calibri" w:cs="Calibri" w:eastAsia="Calibri" w:hAnsi="Calibri"/>
          <w:b/>
          <w:bCs/>
          <w:color w:val="1F3864"/>
          <w:sz w:val="30"/>
          <w:szCs w:val="30"/>
        </w:rPr>
        <w:t xml:space="preserve">Facilitator Notes</w:t>
      </w:r>
    </w:p>
    <w:p>
      <w:pPr>
        <w:pStyle w:val="Heading2"/>
        <w:keepNext/>
        <w:spacing w:after="110" w:before="240"/>
      </w:pPr>
      <w:r>
        <w:rPr>
          <w:rFonts w:ascii="Calibri" w:cs="Calibri" w:eastAsia="Calibri" w:hAnsi="Calibri"/>
          <w:b/>
          <w:bCs/>
          <w:color w:val="2E74B5"/>
          <w:sz w:val="25"/>
          <w:szCs w:val="25"/>
        </w:rPr>
        <w:t xml:space="preserve">Framing Reminders</w:t>
      </w:r>
    </w:p>
    <w:p>
      <w:pPr>
        <w:pStyle w:val="ListParagraph"/>
        <w:numPr>
          <w:ilvl w:val="0"/>
          <w:numId w:val="2"/>
        </w:numPr>
        <w:spacing w:after="80" w:line="276"/>
      </w:pPr>
      <w:r>
        <w:rPr>
          <w:rFonts w:ascii="Calibri" w:cs="Calibri" w:eastAsia="Calibri" w:hAnsi="Calibri"/>
          <w:color w:val="404040"/>
          <w:sz w:val="21"/>
          <w:szCs w:val="21"/>
        </w:rPr>
        <w:t xml:space="preserve">This is a discussion-based business response exercise, not a technical response exercise. The objective is decision-making, communication, and coordination under uncertainty — not root-cause analysis, forensics, or technical troubleshooting.</w:t>
      </w:r>
    </w:p>
    <w:p>
      <w:pPr>
        <w:pStyle w:val="ListParagraph"/>
        <w:numPr>
          <w:ilvl w:val="0"/>
          <w:numId w:val="2"/>
        </w:numPr>
        <w:spacing w:after="80" w:line="276"/>
      </w:pPr>
      <w:r>
        <w:rPr>
          <w:rFonts w:ascii="Calibri" w:cs="Calibri" w:eastAsia="Calibri" w:hAnsi="Calibri"/>
          <w:color w:val="404040"/>
          <w:sz w:val="21"/>
          <w:szCs w:val="21"/>
        </w:rPr>
        <w:t xml:space="preserve">When discussion drifts into technical detail, acknowledge the technical question, then redirect: “Given you don’t have an immediate answer to that technical question, what do you do next?” The exercise tests what the business does while the technical answer is unavailable.</w:t>
      </w:r>
    </w:p>
    <w:p>
      <w:pPr>
        <w:pStyle w:val="ListParagraph"/>
        <w:numPr>
          <w:ilvl w:val="0"/>
          <w:numId w:val="2"/>
        </w:numPr>
        <w:spacing w:after="80" w:line="276"/>
      </w:pPr>
      <w:r>
        <w:rPr>
          <w:rFonts w:ascii="Calibri" w:cs="Calibri" w:eastAsia="Calibri" w:hAnsi="Calibri"/>
          <w:color w:val="404040"/>
          <w:sz w:val="21"/>
          <w:szCs w:val="21"/>
        </w:rPr>
        <w:t xml:space="preserve">Do not supply answers. Where the room cannot answer a question, the gap is the finding — document it for the After-Action Report (AAR) rather than resolving it in the moment.</w:t>
      </w:r>
    </w:p>
    <w:p>
      <w:pPr>
        <w:pStyle w:val="ListParagraph"/>
        <w:numPr>
          <w:ilvl w:val="0"/>
          <w:numId w:val="2"/>
        </w:numPr>
        <w:spacing w:after="80" w:line="276"/>
      </w:pPr>
      <w:r>
        <w:rPr>
          <w:rFonts w:ascii="Calibri" w:cs="Calibri" w:eastAsia="Calibri" w:hAnsi="Calibri"/>
          <w:color w:val="404040"/>
          <w:sz w:val="21"/>
          <w:szCs w:val="21"/>
        </w:rPr>
        <w:t xml:space="preserve">Keep modules to their timebox. Park unresolved threads visibly and return to them in the hot wash if time allows.</w:t>
      </w:r>
    </w:p>
    <w:p>
      <w:pPr>
        <w:pStyle w:val="Heading2"/>
        <w:keepNext/>
        <w:spacing w:after="110" w:before="240"/>
      </w:pPr>
      <w:r>
        <w:rPr>
          <w:rFonts w:ascii="Calibri" w:cs="Calibri" w:eastAsia="Calibri" w:hAnsi="Calibri"/>
          <w:b/>
          <w:bCs/>
          <w:color w:val="2E74B5"/>
          <w:sz w:val="25"/>
          <w:szCs w:val="25"/>
        </w:rPr>
        <w:t xml:space="preserve">Financial Services Data Breach — Third-Party Focus</w:t>
      </w:r>
    </w:p>
    <w:p>
      <w:pPr>
        <w:spacing w:after="120" w:before="0" w:line="276"/>
      </w:pPr>
      <w:r>
        <w:rPr>
          <w:rFonts w:ascii="Calibri" w:cs="Calibri" w:eastAsia="Calibri" w:hAnsi="Calibri"/>
          <w:color w:val="404040"/>
          <w:sz w:val="21"/>
          <w:szCs w:val="21"/>
        </w:rPr>
        <w:t xml:space="preserve">This scenario’s unique challenge is that the breach happened at a vendor, not at the client’s organization. This creates a sense of helplessness that mirrors real incidents: “We didn’t do anything wrong, but we’re responsible for notifying our customers.” Validate this frustration, then redirect: “You chose this vendor. You sent them the data. What due diligence was done before that decision?”</w:t>
      </w:r>
    </w:p>
    <w:p>
      <w:pPr>
        <w:spacing w:after="120" w:before="0" w:line="276"/>
      </w:pPr>
      <w:r>
        <w:rPr>
          <w:rFonts w:ascii="Calibri" w:cs="Calibri" w:eastAsia="Calibri" w:hAnsi="Calibri"/>
          <w:color w:val="404040"/>
          <w:sz w:val="21"/>
          <w:szCs w:val="21"/>
        </w:rPr>
        <w:t xml:space="preserve">The multi-regulator notification table in Module 2 (Inject 6) is the scenario’s centerpiece. Walk through it slowly. Most participants have never mapped their specific obligations across multiple jurisdictions simultaneously. The realization that they face 3–5 different timelines with different requirements is consistently the highest-impact moment.</w:t>
      </w:r>
    </w:p>
    <w:p>
      <w:pPr>
        <w:pStyle w:val="Heading2"/>
        <w:keepNext/>
        <w:spacing w:after="110" w:before="240"/>
      </w:pPr>
      <w:r>
        <w:rPr>
          <w:rFonts w:ascii="Calibri" w:cs="Calibri" w:eastAsia="Calibri" w:hAnsi="Calibri"/>
          <w:b/>
          <w:bCs/>
          <w:color w:val="2E74B5"/>
          <w:sz w:val="25"/>
          <w:szCs w:val="25"/>
        </w:rPr>
        <w:t xml:space="preserve">Common Participant Responses and Probe Questions</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3500"/>
        <w:gridCol w:w="5860"/>
      </w:tblGrid>
      <w:tr>
        <w:trPr>
          <w:tblHeader/>
        </w:trPr>
        <w:tc>
          <w:tcPr>
            <w:tcW w:type="dxa" w:w="35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If Participants...</w:t>
            </w:r>
          </w:p>
        </w:tc>
        <w:tc>
          <w:tcPr>
            <w:tcW w:type="dxa" w:w="58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Probe With...</w:t>
            </w:r>
          </w:p>
        </w:tc>
      </w:tr>
      <w:tr>
        <w:tc>
          <w:tcPr>
            <w:tcW w:type="dxa" w:w="35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“This is the vendor’s fault, not ours”</w:t>
            </w:r>
          </w:p>
        </w:tc>
        <w:tc>
          <w:tcPr>
            <w:tcW w:type="dxa" w:w="58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“You’re right that the vendor was breached. But your customers gave their data to you, not to the vendor. In their eyes, you are responsible. What does your contract with the vendor say about breach notification and indemnification?”</w:t>
            </w:r>
          </w:p>
        </w:tc>
      </w:tr>
      <w:tr>
        <w:tc>
          <w:tcPr>
            <w:tcW w:type="dxa" w:w="35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“We’ll wait for the vendor to tell us more”</w:t>
            </w:r>
          </w:p>
        </w:tc>
        <w:tc>
          <w:tcPr>
            <w:tcW w:type="dxa" w:w="58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“The vendor waited 2 weeks to tell you. Your notification clock may have already started. How long do you wait for a vendor who has already demonstrated delayed communication?”</w:t>
            </w:r>
          </w:p>
        </w:tc>
      </w:tr>
      <w:tr>
        <w:tc>
          <w:tcPr>
            <w:tcW w:type="dxa" w:w="35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Cannot identify which data the vendor held</w:t>
            </w:r>
          </w:p>
        </w:tc>
        <w:tc>
          <w:tcPr>
            <w:tcW w:type="dxa" w:w="58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“That uncertainty is the finding. You sent data to a vendor without maintaining an inventory of what was transmitted. How do you scope a breach you can’t define?”</w:t>
            </w:r>
          </w:p>
        </w:tc>
      </w:tr>
      <w:tr>
        <w:tc>
          <w:tcPr>
            <w:tcW w:type="dxa" w:w="35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“We’ll just switch vendors”</w:t>
            </w:r>
          </w:p>
        </w:tc>
        <w:tc>
          <w:tcPr>
            <w:tcW w:type="dxa" w:w="58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“Switching takes months and costs $[amount]. In the meantime, your data is still on their compromised systems. And do your other vendors have the same security gaps?”</w:t>
            </w:r>
          </w:p>
        </w:tc>
      </w:tr>
      <w:tr>
        <w:tc>
          <w:tcPr>
            <w:tcW w:type="dxa" w:w="35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Customer calls before notification is sent</w:t>
            </w:r>
          </w:p>
        </w:tc>
        <w:tc>
          <w:tcPr>
            <w:tcW w:type="dxa" w:w="58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“A customer is experiencing fraud and asking you directly. You haven’t sent notification yet. What do you say? What are you legally permitted to say? What happens if you say the wrong thing?”</w:t>
            </w:r>
          </w:p>
        </w:tc>
      </w:tr>
      <w:tr>
        <w:tc>
          <w:tcPr>
            <w:tcW w:type="dxa" w:w="35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Skip vendor contract review</w:t>
            </w:r>
          </w:p>
        </w:tc>
        <w:tc>
          <w:tcPr>
            <w:tcW w:type="dxa" w:w="58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“Does your vendor contract include a security incident notification clause? An indemnification clause? SLA penalties? If not, what leverage do you have right now?”</w:t>
            </w:r>
          </w:p>
        </w:tc>
      </w:tr>
    </w:tbl>
    <w:p>
      <w:pPr>
        <w:pStyle w:val="Heading1"/>
        <w:keepNext/>
        <w:spacing w:after="140" w:before="320"/>
      </w:pPr>
      <w:r>
        <w:rPr>
          <w:rFonts w:ascii="Calibri" w:cs="Calibri" w:eastAsia="Calibri" w:hAnsi="Calibri"/>
          <w:b/>
          <w:bCs/>
          <w:color w:val="1F3864"/>
          <w:sz w:val="30"/>
          <w:szCs w:val="30"/>
        </w:rPr>
        <w:t xml:space="preserve">Customization Checklist</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2400"/>
        <w:gridCol w:w="3100"/>
        <w:gridCol w:w="3860"/>
      </w:tblGrid>
      <w:tr>
        <w:trPr>
          <w:tblHeader/>
        </w:trPr>
        <w:tc>
          <w:tcPr>
            <w:tcW w:type="dxa" w:w="24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Element</w:t>
            </w:r>
          </w:p>
        </w:tc>
        <w:tc>
          <w:tcPr>
            <w:tcW w:type="dxa" w:w="31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Default</w:t>
            </w:r>
          </w:p>
        </w:tc>
        <w:tc>
          <w:tcPr>
            <w:tcW w:type="dxa" w:w="38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Customize To</w:t>
            </w:r>
          </w:p>
        </w:tc>
      </w:tr>
      <w:tr>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Organization name</w:t>
            </w:r>
          </w:p>
        </w:tc>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[ORGANIZATION NAME]</w:t>
            </w:r>
          </w:p>
        </w:tc>
        <w:tc>
          <w:tcPr>
            <w:tcW w:type="dxa" w:w="38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Client’s legal name from the Client Intake Packet</w:t>
            </w:r>
          </w:p>
        </w:tc>
      </w:tr>
      <w:tr>
        <w:tc>
          <w:tcPr>
            <w:tcW w:type="dxa" w:w="24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Financial institution type</w:t>
            </w:r>
          </w:p>
        </w:tc>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Community bank / credit union</w:t>
            </w:r>
          </w:p>
        </w:tc>
        <w:tc>
          <w:tcPr>
            <w:tcW w:type="dxa" w:w="38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Client’s actual institution type</w:t>
            </w:r>
          </w:p>
        </w:tc>
      </w:tr>
      <w:tr>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Vendor type</w:t>
            </w:r>
          </w:p>
        </w:tc>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Document scanning and data processing provider</w:t>
            </w:r>
          </w:p>
        </w:tc>
        <w:tc>
          <w:tcPr>
            <w:tcW w:type="dxa" w:w="38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A vendor the client actually uses for data processing</w:t>
            </w:r>
          </w:p>
        </w:tc>
      </w:tr>
      <w:tr>
        <w:tc>
          <w:tcPr>
            <w:tcW w:type="dxa" w:w="24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Data types exposed</w:t>
            </w:r>
          </w:p>
        </w:tc>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Names, SSNs, account numbers, financial statements</w:t>
            </w:r>
          </w:p>
        </w:tc>
        <w:tc>
          <w:tcPr>
            <w:tcW w:type="dxa" w:w="38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Actual data types the client shares with vendors</w:t>
            </w:r>
          </w:p>
        </w:tc>
      </w:tr>
      <w:tr>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Customer count affected</w:t>
            </w:r>
          </w:p>
        </w:tc>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2,500 records</w:t>
            </w:r>
          </w:p>
        </w:tc>
        <w:tc>
          <w:tcPr>
            <w:tcW w:type="dxa" w:w="38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Scale to client’s actual customer base</w:t>
            </w:r>
          </w:p>
        </w:tc>
      </w:tr>
      <w:tr>
        <w:tc>
          <w:tcPr>
            <w:tcW w:type="dxa" w:w="24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Applicable regulators</w:t>
            </w:r>
          </w:p>
        </w:tc>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State banking regulator, FTC (GLBA), State AG</w:t>
            </w:r>
          </w:p>
        </w:tc>
        <w:tc>
          <w:tcPr>
            <w:tcW w:type="dxa" w:w="38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Based on client’s actual regulatory environment</w:t>
            </w:r>
          </w:p>
        </w:tc>
      </w:tr>
      <w:tr>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State notification timeline</w:t>
            </w:r>
          </w:p>
        </w:tc>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30 days from discovery</w:t>
            </w:r>
          </w:p>
        </w:tc>
        <w:tc>
          <w:tcPr>
            <w:tcW w:type="dxa" w:w="38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Client’s actual state law requirements</w:t>
            </w:r>
          </w:p>
        </w:tc>
      </w:tr>
      <w:tr>
        <w:tc>
          <w:tcPr>
            <w:tcW w:type="dxa" w:w="24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Vendor notification delay</w:t>
            </w:r>
          </w:p>
        </w:tc>
        <w:tc>
          <w:tcPr>
            <w:tcW w:type="dxa" w:w="31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2 weeks</w:t>
            </w:r>
          </w:p>
        </w:tc>
        <w:tc>
          <w:tcPr>
            <w:tcW w:type="dxa" w:w="38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Adjust to sharpen or soften the contract-terms discussion</w:t>
            </w:r>
          </w:p>
        </w:tc>
      </w:tr>
      <w:tr>
        <w:tc>
          <w:tcPr>
            <w:tcW w:type="dxa" w:w="24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Largest institutional client (Inject 7)</w:t>
            </w:r>
          </w:p>
        </w:tc>
        <w:tc>
          <w:tcPr>
            <w:tcW w:type="dxa" w:w="31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Generic institutional client</w:t>
            </w:r>
          </w:p>
        </w:tc>
        <w:tc>
          <w:tcPr>
            <w:tcW w:type="dxa" w:w="38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Client’s actual top account and a real upcoming commitment from intake</w:t>
            </w:r>
          </w:p>
        </w:tc>
      </w:tr>
    </w:tbl>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2E74B5" w:sz="24"/>
              <w:bottom w:val="none" w:color="FFFFFF" w:sz="0"/>
              <w:right w:val="none" w:color="FFFFFF" w:sz="0"/>
            </w:tcBorders>
            <w:shd w:fill="DEEBF7" w:val="clear"/>
            <w:tcMar>
              <w:top w:type="dxa" w:w="100"/>
              <w:left w:type="dxa" w:w="160"/>
              <w:bottom w:type="dxa" w:w="100"/>
              <w:right w:type="dxa" w:w="160"/>
            </w:tcMar>
          </w:tcPr>
          <w:p>
            <w:pPr>
              <w:spacing w:after="60"/>
            </w:pPr>
            <w:r>
              <w:rPr>
                <w:rFonts w:ascii="Calibri" w:cs="Calibri" w:eastAsia="Calibri" w:hAnsi="Calibri"/>
                <w:b/>
                <w:bCs/>
                <w:color w:val="2E74B5"/>
                <w:sz w:val="20"/>
                <w:szCs w:val="20"/>
              </w:rPr>
              <w:t xml:space="preserve">✎  CUSTOMIZE — Before Delivery</w:t>
            </w:r>
          </w:p>
          <w:p>
            <w:pPr>
              <w:spacing w:after="40" w:before="0" w:line="276"/>
            </w:pPr>
            <w:r>
              <w:rPr>
                <w:rFonts w:ascii="Calibri" w:cs="Calibri" w:eastAsia="Calibri" w:hAnsi="Calibri"/>
                <w:color w:val="404040"/>
                <w:sz w:val="20"/>
                <w:szCs w:val="20"/>
              </w:rPr>
              <w:t xml:space="preserve">Replace every [CUSTOMIZE] tag in the narrative and artifacts with client-specific detail from the Client Intake Packet. Verify internal consistency and plausibility. The scenario summary goes to the client for approval via Pre-Exercise Forms (02 - Contract folder), Form A.</w:t>
            </w:r>
          </w:p>
        </w:tc>
      </w:tr>
    </w:tbl>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595959" w:sz="24"/>
              <w:bottom w:val="none" w:color="FFFFFF" w:sz="0"/>
              <w:right w:val="none" w:color="FFFFFF" w:sz="0"/>
            </w:tcBorders>
            <w:shd w:fill="F2F2F2" w:val="clear"/>
            <w:tcMar>
              <w:top w:type="dxa" w:w="100"/>
              <w:left w:type="dxa" w:w="160"/>
              <w:bottom w:type="dxa" w:w="100"/>
              <w:right w:type="dxa" w:w="160"/>
            </w:tcMar>
          </w:tcPr>
          <w:p>
            <w:pPr>
              <w:spacing w:after="60"/>
            </w:pPr>
            <w:r>
              <w:rPr>
                <w:rFonts w:ascii="Calibri" w:cs="Calibri" w:eastAsia="Calibri" w:hAnsi="Calibri"/>
                <w:b/>
                <w:bCs/>
                <w:color w:val="595959"/>
                <w:sz w:val="20"/>
                <w:szCs w:val="20"/>
              </w:rPr>
              <w:t xml:space="preserve">NOTE — Regulatory Reference Disclaimer</w:t>
            </w:r>
          </w:p>
          <w:p>
            <w:pPr>
              <w:spacing w:after="40" w:before="0" w:line="276"/>
            </w:pPr>
            <w:r>
              <w:rPr>
                <w:rFonts w:ascii="Calibri" w:cs="Calibri" w:eastAsia="Calibri" w:hAnsi="Calibri"/>
                <w:color w:val="404040"/>
                <w:sz w:val="20"/>
                <w:szCs w:val="20"/>
              </w:rPr>
              <w:t xml:space="preserve">Regulatory requirements, notification timelines, and compliance obligations referenced in this scenario are illustrative and based on information available at the time of scenario development (July 2026). They should not be relied upon as current legal guidance. Regulations, notification timelines, enforcement interpretations, and jurisdictional requirements change. Participants and clients should consult qualified legal counsel for current regulatory requirements applicable to their specific jurisdiction, industry, and circumstances.</w:t>
            </w:r>
          </w:p>
        </w:tc>
      </w:tr>
    </w:tbl>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Calibri" w:cs="Calibri" w:eastAsia="Calibri" w:hAnsi="Calibri"/>
        <w:color w:val="595959"/>
        <w:sz w:val="17"/>
        <w:szCs w:val="17"/>
      </w:rPr>
      <w:t xml:space="preserve">v1.0  ·  Page </w:t>
    </w:r>
    <w:r>
      <w:rPr>
        <w:rFonts w:ascii="Calibri" w:cs="Calibri" w:eastAsia="Calibri" w:hAnsi="Calibri"/>
        <w:color w:val="595959"/>
        <w:sz w:val="17"/>
        <w:szCs w:val="17"/>
      </w:rPr>
      <w:fldChar w:fldCharType="begin"/>
      <w:instrText xml:space="preserve">PAGE</w:instrText>
      <w:fldChar w:fldCharType="separate"/>
      <w:fldChar w:fldCharType="end"/>
    </w:r>
    <w:r>
      <w:rPr>
        <w:rFonts w:ascii="Calibri" w:cs="Calibri" w:eastAsia="Calibri" w:hAnsi="Calibri"/>
        <w:color w:val="595959"/>
        <w:sz w:val="17"/>
        <w:szCs w:val="17"/>
      </w:rPr>
      <w:t xml:space="preserve"> of </w:t>
    </w:r>
    <w:r>
      <w:rPr>
        <w:rFonts w:ascii="Calibri" w:cs="Calibri" w:eastAsia="Calibri" w:hAnsi="Calibri"/>
        <w:color w:val="595959"/>
        <w:sz w:val="17"/>
        <w:szCs w:val="17"/>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BFBFBF" w:sz="4" w:space="3"/>
      </w:pBdr>
    </w:pPr>
    <w:r>
      <w:rPr>
        <w:rFonts w:ascii="Calibri" w:cs="Calibri" w:eastAsia="Calibri" w:hAnsi="Calibri"/>
        <w:color w:val="595959"/>
        <w:sz w:val="17"/>
        <w:szCs w:val="17"/>
      </w:rPr>
      <w:t xml:space="preserve">Business Resilience Pulse Check   |   GS-6b Data Breach — Financial Services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60" w:hanging="230"/>
      </w:pPr>
    </w:lvl>
  </w:abstractNum>
  <w:abstractNum w:abstractNumId="3" w15:restartNumberingAfterBreak="0">
    <w:multiLevelType w:val="hybridMultilevel"/>
    <w:lvl w:ilvl="0" w15:tentative="1">
      <w:start w:val="1"/>
      <w:numFmt w:val="decimal"/>
      <w:lvlText w:val="%1."/>
      <w:lvlJc w:val="left"/>
      <w:pPr>
        <w:ind w:left="460" w:hanging="320"/>
      </w:pPr>
    </w:lvl>
  </w:abstractNum>
  <w:abstractNum w:abstractNumId="4" w15:restartNumberingAfterBreak="0">
    <w:multiLevelType w:val="hybridMultilevel"/>
    <w:lvl w:ilvl="0" w15:tentative="1">
      <w:start w:val="1"/>
      <w:numFmt w:val="decimal"/>
      <w:lvlText w:val="%1."/>
      <w:lvlJc w:val="left"/>
      <w:pPr>
        <w:ind w:left="460" w:hanging="320"/>
      </w:pPr>
    </w:lvl>
  </w:abstractNum>
  <w:abstractNum w:abstractNumId="5" w15:restartNumberingAfterBreak="0">
    <w:multiLevelType w:val="hybridMultilevel"/>
    <w:lvl w:ilvl="0" w15:tentative="1">
      <w:start w:val="1"/>
      <w:numFmt w:val="decimal"/>
      <w:lvlText w:val="%1."/>
      <w:lvlJc w:val="left"/>
      <w:pPr>
        <w:ind w:left="460" w:hanging="320"/>
      </w:pPr>
    </w:lvl>
  </w:abstractNum>
  <w:abstractNum w:abstractNumId="6" w15:restartNumberingAfterBreak="0">
    <w:multiLevelType w:val="hybridMultilevel"/>
    <w:lvl w:ilvl="0" w15:tentative="1">
      <w:start w:val="1"/>
      <w:numFmt w:val="decimal"/>
      <w:lvlText w:val="%1."/>
      <w:lvlJc w:val="left"/>
      <w:pPr>
        <w:ind w:left="460" w:hanging="320"/>
      </w:pPr>
    </w:lvl>
  </w:abstractNum>
  <w:abstractNum w:abstractNumId="7" w15:restartNumberingAfterBreak="0">
    <w:multiLevelType w:val="hybridMultilevel"/>
    <w:lvl w:ilvl="0" w15:tentative="1">
      <w:start w:val="1"/>
      <w:numFmt w:val="decimal"/>
      <w:lvlText w:val="%1."/>
      <w:lvlJc w:val="left"/>
      <w:pPr>
        <w:ind w:left="460" w:hanging="320"/>
      </w:pPr>
    </w:lvl>
  </w:abstractNum>
  <w:abstractNum w:abstractNumId="8" w15:restartNumberingAfterBreak="0">
    <w:multiLevelType w:val="hybridMultilevel"/>
    <w:lvl w:ilvl="0" w15:tentative="1">
      <w:start w:val="1"/>
      <w:numFmt w:val="decimal"/>
      <w:lvlText w:val="%1."/>
      <w:lvlJc w:val="left"/>
      <w:pPr>
        <w:ind w:left="460" w:hanging="320"/>
      </w:pPr>
    </w:lvl>
  </w:abstractNum>
  <w:abstractNum w:abstractNumId="9" w15:restartNumberingAfterBreak="0">
    <w:multiLevelType w:val="hybridMultilevel"/>
    <w:lvl w:ilvl="0" w15:tentative="1">
      <w:start w:val="1"/>
      <w:numFmt w:val="decimal"/>
      <w:lvlText w:val="%1."/>
      <w:lvlJc w:val="left"/>
      <w:pPr>
        <w:ind w:left="460" w:hanging="320"/>
      </w:pPr>
    </w:lvl>
  </w:abstractNum>
  <w:abstractNum w:abstractNumId="10" w15:restartNumberingAfterBreak="0">
    <w:multiLevelType w:val="hybridMultilevel"/>
    <w:lvl w:ilvl="0" w15:tentative="1">
      <w:start w:val="1"/>
      <w:numFmt w:val="decimal"/>
      <w:lvlText w:val="%1."/>
      <w:lvlJc w:val="left"/>
      <w:pPr>
        <w:ind w:left="460" w:hanging="32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404040"/>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outlineLvl w:val="0"/>
    </w:pPr>
    <w:rPr>
      <w:rFonts w:ascii="Calibri" w:cs="Calibri" w:eastAsia="Calibri" w:hAnsi="Calibri"/>
      <w:b/>
      <w:bCs/>
      <w:color w:val="1F3864"/>
      <w:sz w:val="30"/>
      <w:szCs w:val="30"/>
    </w:rPr>
  </w:style>
  <w:style w:type="paragraph" w:styleId="Heading2">
    <w:name w:val="Heading 2"/>
    <w:basedOn w:val="Normal"/>
    <w:next w:val="Normal"/>
    <w:qFormat/>
    <w:pPr>
      <w:outlineLvl w:val="1"/>
    </w:pPr>
    <w:rPr>
      <w:rFonts w:ascii="Calibri" w:cs="Calibri" w:eastAsia="Calibri" w:hAnsi="Calibri"/>
      <w:b/>
      <w:bCs/>
      <w:color w:val="2E74B5"/>
      <w:sz w:val="25"/>
      <w:szCs w:val="25"/>
    </w:rPr>
  </w:style>
  <w:style w:type="paragraph" w:styleId="Heading3">
    <w:name w:val="Heading 3"/>
    <w:basedOn w:val="Normal"/>
    <w:next w:val="Normal"/>
    <w:qFormat/>
    <w:pPr>
      <w:outlineLvl w:val="2"/>
    </w:pPr>
    <w:rPr>
      <w:rFonts w:ascii="Calibri" w:cs="Calibri" w:eastAsia="Calibri" w:hAnsi="Calibri"/>
      <w:b/>
      <w:bCs/>
      <w:color w:val="1F3864"/>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2026-07-14T20:01:41.152Z</dcterms:created>
  <dcterms:modified xsi:type="dcterms:W3CDTF">2026-07-14T20:01:41.152Z</dcterms:modified>
</cp:coreProperties>
</file>

<file path=docProps/custom.xml><?xml version="1.0" encoding="utf-8"?>
<Properties xmlns="http://schemas.openxmlformats.org/officeDocument/2006/custom-properties" xmlns:vt="http://schemas.openxmlformats.org/officeDocument/2006/docPropsVTypes"/>
</file>